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6D2A" w14:textId="1178DE32" w:rsidR="00EB2AF3" w:rsidRDefault="00EB2AF3" w:rsidP="007972A1">
      <w:pPr>
        <w:pStyle w:val="Heading1"/>
      </w:pPr>
      <w:r>
        <w:t>Syllabus: [Course Name]</w:t>
      </w:r>
    </w:p>
    <w:p w14:paraId="065CA274" w14:textId="77777777" w:rsidR="00EB2AF3" w:rsidRDefault="00EB2AF3" w:rsidP="00EB2AF3">
      <w:pPr>
        <w:pStyle w:val="Heading2"/>
      </w:pPr>
    </w:p>
    <w:p w14:paraId="6C63A46B" w14:textId="64F0D65D" w:rsidR="007972A1" w:rsidRPr="00654D6B" w:rsidRDefault="007972A1" w:rsidP="00EB2AF3">
      <w:pPr>
        <w:pStyle w:val="Heading2"/>
      </w:pPr>
      <w:r w:rsidRPr="00654D6B">
        <w:t>Course Information</w:t>
      </w:r>
    </w:p>
    <w:p w14:paraId="503BF045" w14:textId="0F3DAC04" w:rsidR="003211FE" w:rsidRPr="00654D6B" w:rsidRDefault="003211FE" w:rsidP="007972A1">
      <w:pPr>
        <w:rPr>
          <w:b/>
        </w:rPr>
      </w:pPr>
      <w:r w:rsidRPr="00654D6B">
        <w:rPr>
          <w:b/>
        </w:rPr>
        <w:t>[Course Name]</w:t>
      </w:r>
    </w:p>
    <w:p w14:paraId="267D6374" w14:textId="1E013CDE" w:rsidR="003211FE" w:rsidRPr="00654D6B" w:rsidRDefault="003211FE" w:rsidP="007972A1">
      <w:r w:rsidRPr="00654D6B">
        <w:t>[Course ID]</w:t>
      </w:r>
    </w:p>
    <w:p w14:paraId="335D318F" w14:textId="44F57839" w:rsidR="003211FE" w:rsidRPr="00654D6B" w:rsidRDefault="005A6D4C" w:rsidP="007972A1">
      <w:r>
        <w:t>[Semester</w:t>
      </w:r>
      <w:r w:rsidR="001C04FA">
        <w:t xml:space="preserve"> and Year</w:t>
      </w:r>
      <w:r>
        <w:t>]</w:t>
      </w:r>
    </w:p>
    <w:p w14:paraId="1942FB51" w14:textId="0D81E724" w:rsidR="003211FE" w:rsidRPr="00654D6B" w:rsidRDefault="003211FE" w:rsidP="007972A1">
      <w:r w:rsidRPr="00654D6B">
        <w:t>[Session meeting days and times]</w:t>
      </w:r>
    </w:p>
    <w:p w14:paraId="33576D0C" w14:textId="3702237A" w:rsidR="00997936" w:rsidRPr="00654D6B" w:rsidRDefault="003211FE" w:rsidP="007972A1">
      <w:r w:rsidRPr="00654D6B">
        <w:t>[Location]</w:t>
      </w:r>
    </w:p>
    <w:p w14:paraId="6817DEA1" w14:textId="0A3B0592" w:rsidR="00DD4801" w:rsidRPr="00654D6B" w:rsidRDefault="00DD4801" w:rsidP="007972A1">
      <w:r w:rsidRPr="00654D6B">
        <w:t>American University</w:t>
      </w:r>
    </w:p>
    <w:p w14:paraId="2B743E5C" w14:textId="77777777" w:rsidR="00EB2AF3" w:rsidRDefault="00EB2AF3" w:rsidP="00EB2AF3">
      <w:pPr>
        <w:pStyle w:val="Heading2"/>
      </w:pPr>
    </w:p>
    <w:p w14:paraId="2997C199" w14:textId="2AD0E880" w:rsidR="003211FE" w:rsidRPr="00654D6B" w:rsidRDefault="003211FE" w:rsidP="00EB2AF3">
      <w:pPr>
        <w:pStyle w:val="Heading2"/>
      </w:pPr>
      <w:r w:rsidRPr="00654D6B">
        <w:t xml:space="preserve">Instructor </w:t>
      </w:r>
      <w:r w:rsidRPr="00EB2AF3">
        <w:t>Information</w:t>
      </w:r>
    </w:p>
    <w:p w14:paraId="3A2B4FE5" w14:textId="48AD7FFB" w:rsidR="003211FE" w:rsidRPr="00654D6B" w:rsidRDefault="0085421C" w:rsidP="00B1261D">
      <w:r w:rsidRPr="00654D6B">
        <w:t>Instructor:</w:t>
      </w:r>
      <w:r w:rsidR="00F7656B">
        <w:t xml:space="preserve"> </w:t>
      </w:r>
    </w:p>
    <w:p w14:paraId="67F78B27" w14:textId="481F8FD3" w:rsidR="003211FE" w:rsidRPr="00654D6B" w:rsidRDefault="003211FE" w:rsidP="00B1261D">
      <w:r w:rsidRPr="00654D6B">
        <w:t xml:space="preserve">Email: </w:t>
      </w:r>
    </w:p>
    <w:p w14:paraId="7C0794E4" w14:textId="313D1001" w:rsidR="003211FE" w:rsidRDefault="003211FE" w:rsidP="00B1261D">
      <w:r w:rsidRPr="00654D6B">
        <w:t>Office</w:t>
      </w:r>
      <w:r w:rsidR="00572841" w:rsidRPr="00654D6B">
        <w:t>:</w:t>
      </w:r>
      <w:r w:rsidR="00F7656B">
        <w:t xml:space="preserve"> </w:t>
      </w:r>
      <w:r w:rsidR="001C04FA" w:rsidRPr="001C04FA">
        <w:t>(or preferred, public meeting space on campus e.g., library, Mary Graydon Center):</w:t>
      </w:r>
    </w:p>
    <w:p w14:paraId="28544260" w14:textId="77777777" w:rsidR="001C04FA" w:rsidRDefault="001C04FA" w:rsidP="001C04FA">
      <w:r>
        <w:t>Instructor’s Phone:</w:t>
      </w:r>
    </w:p>
    <w:p w14:paraId="43831260" w14:textId="77777777" w:rsidR="001C04FA" w:rsidRDefault="001C04FA" w:rsidP="001C04FA">
      <w:r>
        <w:t>Skype Account:</w:t>
      </w:r>
    </w:p>
    <w:p w14:paraId="0E9BD3CD" w14:textId="1664C944" w:rsidR="001C04FA" w:rsidRPr="00654D6B" w:rsidRDefault="001C04FA" w:rsidP="001C04FA">
      <w:r>
        <w:t>You Can Book Me:</w:t>
      </w:r>
    </w:p>
    <w:p w14:paraId="3F7639DC" w14:textId="437E2B35" w:rsidR="00AA31DE" w:rsidRPr="00654D6B" w:rsidRDefault="00572841" w:rsidP="00B1261D">
      <w:r w:rsidRPr="00654D6B">
        <w:t>Office Hours</w:t>
      </w:r>
      <w:r w:rsidR="00AA31DE" w:rsidRPr="00654D6B">
        <w:t>:</w:t>
      </w:r>
      <w:r w:rsidR="00F7656B">
        <w:t xml:space="preserve"> </w:t>
      </w:r>
      <w:r w:rsidR="001C04FA" w:rsidRPr="001C04FA">
        <w:t>(or times of day available/not available; by appointment; online office hours):</w:t>
      </w:r>
    </w:p>
    <w:p w14:paraId="6D993CD9" w14:textId="0F0AFB6C" w:rsidR="003D3996" w:rsidRDefault="003D3996" w:rsidP="00B1261D">
      <w:r w:rsidRPr="00654D6B">
        <w:t>Preferred Communication Method:</w:t>
      </w:r>
      <w:r w:rsidR="00F7656B">
        <w:t xml:space="preserve"> </w:t>
      </w:r>
      <w:r w:rsidR="001C04FA" w:rsidRPr="001C04FA">
        <w:t xml:space="preserve">(e.g., email, phone, Skype, </w:t>
      </w:r>
      <w:r w:rsidR="001C04FA">
        <w:t>Canvas</w:t>
      </w:r>
      <w:r w:rsidR="001C04FA" w:rsidRPr="001C04FA">
        <w:t>):</w:t>
      </w:r>
    </w:p>
    <w:p w14:paraId="335C1EE6" w14:textId="3406A207" w:rsidR="001C04FA" w:rsidRPr="00654D6B" w:rsidRDefault="001C04FA" w:rsidP="00B1261D">
      <w:r w:rsidRPr="001C04FA">
        <w:t>Response Time for Questions:</w:t>
      </w:r>
    </w:p>
    <w:p w14:paraId="2C1498EC" w14:textId="449FCEEF" w:rsidR="003D3996" w:rsidRPr="00654D6B" w:rsidRDefault="003D3996" w:rsidP="00B1261D">
      <w:r w:rsidRPr="00654D6B">
        <w:t>Campus Mailbox:</w:t>
      </w:r>
      <w:r w:rsidR="00F7656B">
        <w:t xml:space="preserve"> </w:t>
      </w:r>
    </w:p>
    <w:p w14:paraId="05BBA680" w14:textId="41D283CF" w:rsidR="00AA31DE" w:rsidRPr="00654D6B" w:rsidRDefault="003D3996" w:rsidP="00B1261D">
      <w:r w:rsidRPr="00654D6B">
        <w:t>Instructor Bio:</w:t>
      </w:r>
      <w:r w:rsidR="00F7656B">
        <w:t xml:space="preserve"> </w:t>
      </w:r>
    </w:p>
    <w:p w14:paraId="13F5D177" w14:textId="5A3D077C" w:rsidR="00B96392" w:rsidRPr="00654D6B" w:rsidRDefault="00B96392" w:rsidP="00B1261D"/>
    <w:p w14:paraId="30D0C962" w14:textId="6FBCEC9A" w:rsidR="00361026" w:rsidRPr="00654D6B" w:rsidRDefault="002C38F3" w:rsidP="00EB2AF3">
      <w:pPr>
        <w:pStyle w:val="Heading2"/>
      </w:pPr>
      <w:r w:rsidRPr="00654D6B">
        <w:t>Course Learning Outcomes</w:t>
      </w:r>
    </w:p>
    <w:p w14:paraId="203D5A36" w14:textId="6BF4FA1D" w:rsidR="002C38F3" w:rsidRPr="00654D6B" w:rsidRDefault="002C38F3" w:rsidP="00B1261D">
      <w:pPr>
        <w:spacing w:before="100" w:beforeAutospacing="1" w:after="100" w:afterAutospacing="1"/>
        <w:contextualSpacing/>
      </w:pPr>
      <w:r w:rsidRPr="00654D6B">
        <w:t xml:space="preserve">Upon successful completion of this course, you </w:t>
      </w:r>
      <w:r w:rsidR="00F07029">
        <w:t>should</w:t>
      </w:r>
      <w:r w:rsidRPr="00654D6B">
        <w:t xml:space="preserve"> be able to:</w:t>
      </w:r>
    </w:p>
    <w:p w14:paraId="6CBA7CCA" w14:textId="4B3120D5" w:rsidR="002C38F3" w:rsidRPr="00654D6B" w:rsidRDefault="002C38F3" w:rsidP="00B1261D">
      <w:pPr>
        <w:numPr>
          <w:ilvl w:val="0"/>
          <w:numId w:val="2"/>
        </w:numPr>
        <w:spacing w:before="100" w:beforeAutospacing="1" w:after="100" w:afterAutospacing="1"/>
        <w:contextualSpacing/>
      </w:pPr>
    </w:p>
    <w:p w14:paraId="495253E8" w14:textId="49BB4EFD" w:rsidR="002C38F3" w:rsidRPr="00654D6B" w:rsidRDefault="002C38F3" w:rsidP="00B1261D">
      <w:pPr>
        <w:numPr>
          <w:ilvl w:val="0"/>
          <w:numId w:val="2"/>
        </w:numPr>
        <w:spacing w:before="100" w:beforeAutospacing="1" w:after="100" w:afterAutospacing="1"/>
        <w:contextualSpacing/>
      </w:pPr>
    </w:p>
    <w:p w14:paraId="7669D54D" w14:textId="7CB1C721" w:rsidR="002C38F3" w:rsidRPr="00654D6B" w:rsidRDefault="002C38F3" w:rsidP="00B1261D">
      <w:pPr>
        <w:numPr>
          <w:ilvl w:val="0"/>
          <w:numId w:val="2"/>
        </w:numPr>
        <w:spacing w:before="100" w:beforeAutospacing="1" w:after="100" w:afterAutospacing="1"/>
        <w:contextualSpacing/>
      </w:pPr>
    </w:p>
    <w:p w14:paraId="5BEB99AF" w14:textId="149CFFBA" w:rsidR="00B1261D" w:rsidRDefault="00B1261D" w:rsidP="00B1261D">
      <w:pPr>
        <w:spacing w:before="100" w:beforeAutospacing="1" w:after="100" w:afterAutospacing="1"/>
        <w:contextualSpacing/>
      </w:pPr>
    </w:p>
    <w:p w14:paraId="5584DF44" w14:textId="77777777" w:rsidR="001D15C9" w:rsidRPr="001D15C9" w:rsidRDefault="001D15C9" w:rsidP="001D15C9">
      <w:pPr>
        <w:keepNext/>
        <w:keepLines/>
        <w:spacing w:before="40"/>
        <w:outlineLvl w:val="1"/>
        <w:rPr>
          <w:rFonts w:ascii="Avenir Next" w:eastAsiaTheme="majorEastAsia" w:hAnsi="Avenir Next" w:cstheme="majorBidi"/>
          <w:b/>
          <w:color w:val="000000" w:themeColor="text1"/>
          <w:sz w:val="26"/>
          <w:szCs w:val="26"/>
        </w:rPr>
      </w:pPr>
      <w:r w:rsidRPr="001D15C9">
        <w:rPr>
          <w:rFonts w:ascii="Avenir Next" w:eastAsiaTheme="majorEastAsia" w:hAnsi="Avenir Next" w:cstheme="majorBidi"/>
          <w:b/>
          <w:color w:val="000000" w:themeColor="text1"/>
          <w:sz w:val="26"/>
          <w:szCs w:val="26"/>
        </w:rPr>
        <w:t>Instructional Technologies</w:t>
      </w:r>
    </w:p>
    <w:p w14:paraId="660B501E" w14:textId="77777777" w:rsidR="001D15C9" w:rsidRPr="00654D6B" w:rsidRDefault="001D15C9" w:rsidP="00B1261D">
      <w:pPr>
        <w:spacing w:before="100" w:beforeAutospacing="1" w:after="100" w:afterAutospacing="1"/>
        <w:contextualSpacing/>
      </w:pPr>
      <w:bookmarkStart w:id="0" w:name="_GoBack"/>
      <w:bookmarkEnd w:id="0"/>
    </w:p>
    <w:p w14:paraId="054B6D27" w14:textId="725FBDE5" w:rsidR="0095544B" w:rsidRDefault="00FA5AA4" w:rsidP="001D15C9">
      <w:pPr>
        <w:pStyle w:val="Heading2"/>
      </w:pPr>
      <w:r w:rsidRPr="00654D6B">
        <w:t>Textbooks and Materials</w:t>
      </w:r>
    </w:p>
    <w:p w14:paraId="5E04E69C" w14:textId="77777777" w:rsidR="001D15C9" w:rsidRPr="001D15C9" w:rsidRDefault="001D15C9" w:rsidP="001D15C9"/>
    <w:p w14:paraId="5C186877" w14:textId="2C0D7F92" w:rsidR="00560B3D" w:rsidRPr="00654D6B" w:rsidRDefault="00F364F9" w:rsidP="00EB2AF3">
      <w:pPr>
        <w:pStyle w:val="Heading3"/>
      </w:pPr>
      <w:r w:rsidRPr="00654D6B">
        <w:t>Required</w:t>
      </w:r>
    </w:p>
    <w:p w14:paraId="1CE3C262" w14:textId="77777777" w:rsidR="005A1DA6" w:rsidRPr="00654D6B" w:rsidRDefault="005A1DA6" w:rsidP="00F364F9">
      <w:pPr>
        <w:rPr>
          <w:b/>
          <w:bCs/>
        </w:rPr>
      </w:pPr>
    </w:p>
    <w:p w14:paraId="6B0AAF4C" w14:textId="77777777" w:rsidR="00122C3F" w:rsidRPr="00654D6B" w:rsidRDefault="00122C3F" w:rsidP="00F364F9"/>
    <w:p w14:paraId="60892F56" w14:textId="34B3C1D4" w:rsidR="00F364F9" w:rsidRPr="00654D6B" w:rsidRDefault="00F364F9" w:rsidP="00EB2AF3">
      <w:pPr>
        <w:pStyle w:val="Heading3"/>
      </w:pPr>
      <w:r w:rsidRPr="00654D6B">
        <w:t>Supplemental</w:t>
      </w:r>
    </w:p>
    <w:p w14:paraId="6F1FB748" w14:textId="77777777" w:rsidR="005A1DA6" w:rsidRPr="00654D6B" w:rsidRDefault="005A1DA6" w:rsidP="0095544B">
      <w:pPr>
        <w:rPr>
          <w:b/>
          <w:bCs/>
        </w:rPr>
      </w:pPr>
    </w:p>
    <w:p w14:paraId="7A4C17BA" w14:textId="372C4241" w:rsidR="00FA5AA4" w:rsidRPr="00654D6B" w:rsidRDefault="00FA5AA4" w:rsidP="00B1261D"/>
    <w:p w14:paraId="37F6913A" w14:textId="60FEF6A1" w:rsidR="0076313A" w:rsidRPr="00654D6B" w:rsidRDefault="0016091B" w:rsidP="007E36A1">
      <w:pPr>
        <w:pStyle w:val="Heading2"/>
      </w:pPr>
      <w:r w:rsidRPr="00654D6B">
        <w:t>Course Expectations, Requirements, and Policies</w:t>
      </w:r>
    </w:p>
    <w:p w14:paraId="7A6184D5" w14:textId="77777777" w:rsidR="00240CC4" w:rsidRPr="00654D6B" w:rsidRDefault="00240CC4" w:rsidP="0016091B">
      <w:pPr>
        <w:rPr>
          <w:b/>
        </w:rPr>
      </w:pPr>
    </w:p>
    <w:p w14:paraId="304872DA" w14:textId="4C3723B4" w:rsidR="0016091B" w:rsidRPr="00654D6B" w:rsidRDefault="0016091B" w:rsidP="007E36A1">
      <w:pPr>
        <w:pStyle w:val="Heading3"/>
      </w:pPr>
      <w:r w:rsidRPr="00654D6B">
        <w:t xml:space="preserve">Expectations for Course Participation </w:t>
      </w:r>
    </w:p>
    <w:p w14:paraId="56517E57" w14:textId="41C8F5DB" w:rsidR="0096110B" w:rsidRDefault="0096110B" w:rsidP="007E36A1">
      <w:pPr>
        <w:pStyle w:val="Heading3"/>
      </w:pPr>
    </w:p>
    <w:p w14:paraId="558C9E63" w14:textId="77777777" w:rsidR="00B94BF8" w:rsidRPr="00654D6B" w:rsidRDefault="00B94BF8" w:rsidP="007E36A1">
      <w:pPr>
        <w:pStyle w:val="Heading3"/>
      </w:pPr>
    </w:p>
    <w:p w14:paraId="429FBACA" w14:textId="77777777" w:rsidR="002A7299" w:rsidRPr="00654D6B" w:rsidRDefault="00240CC4" w:rsidP="007E36A1">
      <w:pPr>
        <w:pStyle w:val="Heading3"/>
      </w:pPr>
      <w:r w:rsidRPr="00654D6B">
        <w:t>Late Work Policy</w:t>
      </w:r>
      <w:r w:rsidR="002A7299" w:rsidRPr="00654D6B">
        <w:t xml:space="preserve"> </w:t>
      </w:r>
    </w:p>
    <w:p w14:paraId="70356A2D" w14:textId="7C49245F" w:rsidR="00240CC4" w:rsidRPr="00654D6B" w:rsidRDefault="00240CC4" w:rsidP="002A7299"/>
    <w:p w14:paraId="1C292A0C" w14:textId="723EBE29" w:rsidR="002A7299" w:rsidRPr="00654D6B" w:rsidRDefault="002A7299" w:rsidP="002A7299"/>
    <w:p w14:paraId="6C1226C0" w14:textId="3C495DB2" w:rsidR="002A7299" w:rsidRPr="00654D6B" w:rsidRDefault="00063F6D" w:rsidP="007E36A1">
      <w:pPr>
        <w:pStyle w:val="Heading2"/>
      </w:pPr>
      <w:r w:rsidRPr="00654D6B">
        <w:t>Grading and Assessment</w:t>
      </w:r>
    </w:p>
    <w:p w14:paraId="448A6EBC" w14:textId="0E58B108" w:rsidR="00063F6D" w:rsidRPr="00654D6B" w:rsidRDefault="00063F6D" w:rsidP="007E36A1">
      <w:pPr>
        <w:pStyle w:val="Heading3"/>
      </w:pPr>
      <w:r w:rsidRPr="00654D6B">
        <w:t xml:space="preserve">Grading Scale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w:tblDescription w:val="This table describes the grades that specific percentages translate to. "/>
      </w:tblPr>
      <w:tblGrid>
        <w:gridCol w:w="2482"/>
        <w:gridCol w:w="2482"/>
      </w:tblGrid>
      <w:tr w:rsidR="00DD7102" w14:paraId="6AF174BB" w14:textId="08A1FB83" w:rsidTr="003A692E">
        <w:trPr>
          <w:trHeight w:val="300"/>
          <w:tblHeader/>
          <w:jc w:val="center"/>
        </w:trPr>
        <w:tc>
          <w:tcPr>
            <w:tcW w:w="2482" w:type="dxa"/>
            <w:tcBorders>
              <w:top w:val="single" w:sz="4" w:space="0" w:color="auto"/>
              <w:bottom w:val="single" w:sz="4" w:space="0" w:color="auto"/>
            </w:tcBorders>
          </w:tcPr>
          <w:p w14:paraId="17030C09" w14:textId="2E72DD2A" w:rsidR="00DD7102" w:rsidRPr="00764E57" w:rsidRDefault="00DD7102" w:rsidP="00DD7102">
            <w:pPr>
              <w:jc w:val="center"/>
              <w:rPr>
                <w:b/>
                <w:bCs/>
              </w:rPr>
            </w:pPr>
            <w:r w:rsidRPr="00764E57">
              <w:rPr>
                <w:b/>
                <w:bCs/>
              </w:rPr>
              <w:t>Final Percent</w:t>
            </w:r>
          </w:p>
        </w:tc>
        <w:tc>
          <w:tcPr>
            <w:tcW w:w="2482" w:type="dxa"/>
            <w:tcBorders>
              <w:top w:val="single" w:sz="4" w:space="0" w:color="auto"/>
              <w:bottom w:val="single" w:sz="4" w:space="0" w:color="auto"/>
            </w:tcBorders>
          </w:tcPr>
          <w:p w14:paraId="493A8D95" w14:textId="039B2460" w:rsidR="00DD7102" w:rsidRPr="00764E57" w:rsidRDefault="00DD7102" w:rsidP="00DD7102">
            <w:pPr>
              <w:jc w:val="center"/>
              <w:rPr>
                <w:b/>
                <w:bCs/>
              </w:rPr>
            </w:pPr>
            <w:r w:rsidRPr="00764E57">
              <w:rPr>
                <w:b/>
                <w:bCs/>
              </w:rPr>
              <w:t>Grade</w:t>
            </w:r>
          </w:p>
        </w:tc>
      </w:tr>
      <w:tr w:rsidR="00DD7102" w14:paraId="7BE4F88F" w14:textId="445DE1AF" w:rsidTr="00DD7102">
        <w:trPr>
          <w:trHeight w:val="324"/>
          <w:jc w:val="center"/>
        </w:trPr>
        <w:tc>
          <w:tcPr>
            <w:tcW w:w="2482" w:type="dxa"/>
            <w:tcBorders>
              <w:top w:val="single" w:sz="4" w:space="0" w:color="auto"/>
            </w:tcBorders>
          </w:tcPr>
          <w:p w14:paraId="71343BBF" w14:textId="5C5FABCA" w:rsidR="00DD7102" w:rsidRPr="00406CA5" w:rsidRDefault="0074463D" w:rsidP="00406CA5">
            <w:pPr>
              <w:jc w:val="center"/>
              <w:rPr>
                <w:iCs/>
              </w:rPr>
            </w:pPr>
            <w:r w:rsidRPr="00406CA5">
              <w:rPr>
                <w:iCs/>
              </w:rPr>
              <w:t>XX%-100%</w:t>
            </w:r>
          </w:p>
        </w:tc>
        <w:tc>
          <w:tcPr>
            <w:tcW w:w="2482" w:type="dxa"/>
            <w:tcBorders>
              <w:top w:val="single" w:sz="4" w:space="0" w:color="auto"/>
            </w:tcBorders>
          </w:tcPr>
          <w:p w14:paraId="60A7CF70" w14:textId="71CF17FE" w:rsidR="00DD7102" w:rsidRDefault="00DD7102" w:rsidP="00DD7102">
            <w:pPr>
              <w:jc w:val="center"/>
            </w:pPr>
            <w:r>
              <w:t>A</w:t>
            </w:r>
          </w:p>
        </w:tc>
      </w:tr>
      <w:tr w:rsidR="00DD7102" w14:paraId="7426AAB2" w14:textId="68C50B08" w:rsidTr="00DD7102">
        <w:trPr>
          <w:trHeight w:val="300"/>
          <w:jc w:val="center"/>
        </w:trPr>
        <w:tc>
          <w:tcPr>
            <w:tcW w:w="2482" w:type="dxa"/>
          </w:tcPr>
          <w:p w14:paraId="6940C085" w14:textId="16CA5421" w:rsidR="00DD7102" w:rsidRPr="00406CA5" w:rsidRDefault="00406CA5" w:rsidP="00DD7102">
            <w:pPr>
              <w:jc w:val="center"/>
              <w:rPr>
                <w:iCs/>
              </w:rPr>
            </w:pPr>
            <w:r w:rsidRPr="00406CA5">
              <w:rPr>
                <w:iCs/>
              </w:rPr>
              <w:t>XX%-XX%</w:t>
            </w:r>
          </w:p>
        </w:tc>
        <w:tc>
          <w:tcPr>
            <w:tcW w:w="2482" w:type="dxa"/>
          </w:tcPr>
          <w:p w14:paraId="6A452B70" w14:textId="30D8500E" w:rsidR="00DD7102" w:rsidRDefault="00DD7102" w:rsidP="00DD7102">
            <w:pPr>
              <w:jc w:val="center"/>
            </w:pPr>
            <w:r>
              <w:t>A-</w:t>
            </w:r>
          </w:p>
        </w:tc>
      </w:tr>
      <w:tr w:rsidR="00DD7102" w14:paraId="3EB471BA" w14:textId="70393419" w:rsidTr="00DD7102">
        <w:trPr>
          <w:trHeight w:val="324"/>
          <w:jc w:val="center"/>
        </w:trPr>
        <w:tc>
          <w:tcPr>
            <w:tcW w:w="2482" w:type="dxa"/>
          </w:tcPr>
          <w:p w14:paraId="6D3FABF3" w14:textId="498F0697" w:rsidR="00DD7102" w:rsidRPr="00406CA5" w:rsidRDefault="00406CA5" w:rsidP="00DD7102">
            <w:pPr>
              <w:jc w:val="center"/>
              <w:rPr>
                <w:iCs/>
              </w:rPr>
            </w:pPr>
            <w:r w:rsidRPr="00406CA5">
              <w:rPr>
                <w:iCs/>
              </w:rPr>
              <w:t>XX%-XX%</w:t>
            </w:r>
          </w:p>
        </w:tc>
        <w:tc>
          <w:tcPr>
            <w:tcW w:w="2482" w:type="dxa"/>
          </w:tcPr>
          <w:p w14:paraId="5D909BCA" w14:textId="7583E866" w:rsidR="00DD7102" w:rsidRDefault="00DD7102" w:rsidP="00DD7102">
            <w:pPr>
              <w:jc w:val="center"/>
            </w:pPr>
            <w:r>
              <w:t>B+</w:t>
            </w:r>
          </w:p>
        </w:tc>
      </w:tr>
      <w:tr w:rsidR="00DD7102" w14:paraId="768A8681" w14:textId="4F3389A4" w:rsidTr="00DD7102">
        <w:trPr>
          <w:trHeight w:val="324"/>
          <w:jc w:val="center"/>
        </w:trPr>
        <w:tc>
          <w:tcPr>
            <w:tcW w:w="2482" w:type="dxa"/>
          </w:tcPr>
          <w:p w14:paraId="47ADEDD9" w14:textId="0EFCA9D3" w:rsidR="00DD7102" w:rsidRPr="00406CA5" w:rsidRDefault="00406CA5" w:rsidP="00DD7102">
            <w:pPr>
              <w:jc w:val="center"/>
              <w:rPr>
                <w:iCs/>
              </w:rPr>
            </w:pPr>
            <w:r w:rsidRPr="00406CA5">
              <w:rPr>
                <w:iCs/>
              </w:rPr>
              <w:t>XX%-XX%</w:t>
            </w:r>
          </w:p>
        </w:tc>
        <w:tc>
          <w:tcPr>
            <w:tcW w:w="2482" w:type="dxa"/>
          </w:tcPr>
          <w:p w14:paraId="07342B9A" w14:textId="60777D8D" w:rsidR="00DD7102" w:rsidRDefault="00DD7102" w:rsidP="00DD7102">
            <w:pPr>
              <w:jc w:val="center"/>
            </w:pPr>
            <w:r>
              <w:t>B</w:t>
            </w:r>
          </w:p>
        </w:tc>
      </w:tr>
      <w:tr w:rsidR="00DD7102" w14:paraId="51DB8807" w14:textId="27A64D64" w:rsidTr="00DD7102">
        <w:trPr>
          <w:trHeight w:val="324"/>
          <w:jc w:val="center"/>
        </w:trPr>
        <w:tc>
          <w:tcPr>
            <w:tcW w:w="2482" w:type="dxa"/>
          </w:tcPr>
          <w:p w14:paraId="3EDD7B9A" w14:textId="0E0BB2C9" w:rsidR="00DD7102" w:rsidRPr="00406CA5" w:rsidRDefault="00406CA5" w:rsidP="00DD7102">
            <w:pPr>
              <w:jc w:val="center"/>
              <w:rPr>
                <w:iCs/>
              </w:rPr>
            </w:pPr>
            <w:r w:rsidRPr="00406CA5">
              <w:rPr>
                <w:iCs/>
              </w:rPr>
              <w:t>XX%-XX%</w:t>
            </w:r>
          </w:p>
        </w:tc>
        <w:tc>
          <w:tcPr>
            <w:tcW w:w="2482" w:type="dxa"/>
          </w:tcPr>
          <w:p w14:paraId="31F3B638" w14:textId="631864A9" w:rsidR="00DD7102" w:rsidRDefault="00DD7102" w:rsidP="00DD7102">
            <w:pPr>
              <w:jc w:val="center"/>
            </w:pPr>
            <w:r>
              <w:t>B-</w:t>
            </w:r>
          </w:p>
        </w:tc>
      </w:tr>
      <w:tr w:rsidR="00DD7102" w14:paraId="33E2D511" w14:textId="43F68BEB" w:rsidTr="00DD7102">
        <w:trPr>
          <w:trHeight w:val="324"/>
          <w:jc w:val="center"/>
        </w:trPr>
        <w:tc>
          <w:tcPr>
            <w:tcW w:w="2482" w:type="dxa"/>
          </w:tcPr>
          <w:p w14:paraId="0CA1BD2B" w14:textId="71D68629" w:rsidR="00DD7102" w:rsidRPr="00406CA5" w:rsidRDefault="00406CA5" w:rsidP="00DD7102">
            <w:pPr>
              <w:jc w:val="center"/>
              <w:rPr>
                <w:iCs/>
              </w:rPr>
            </w:pPr>
            <w:r w:rsidRPr="00406CA5">
              <w:rPr>
                <w:iCs/>
              </w:rPr>
              <w:t>XX%-XX%</w:t>
            </w:r>
          </w:p>
        </w:tc>
        <w:tc>
          <w:tcPr>
            <w:tcW w:w="2482" w:type="dxa"/>
          </w:tcPr>
          <w:p w14:paraId="646297ED" w14:textId="39DA8A73" w:rsidR="00DD7102" w:rsidRDefault="00DD7102" w:rsidP="00DD7102">
            <w:pPr>
              <w:jc w:val="center"/>
            </w:pPr>
            <w:r>
              <w:t>C+</w:t>
            </w:r>
          </w:p>
        </w:tc>
      </w:tr>
      <w:tr w:rsidR="00DD7102" w14:paraId="6B569E4E" w14:textId="04FA818B" w:rsidTr="00DD7102">
        <w:trPr>
          <w:trHeight w:val="300"/>
          <w:jc w:val="center"/>
        </w:trPr>
        <w:tc>
          <w:tcPr>
            <w:tcW w:w="2482" w:type="dxa"/>
          </w:tcPr>
          <w:p w14:paraId="39F4470D" w14:textId="4DE5B520" w:rsidR="00DD7102" w:rsidRPr="00406CA5" w:rsidRDefault="00406CA5" w:rsidP="00DD7102">
            <w:pPr>
              <w:jc w:val="center"/>
              <w:rPr>
                <w:iCs/>
              </w:rPr>
            </w:pPr>
            <w:r w:rsidRPr="00406CA5">
              <w:rPr>
                <w:iCs/>
              </w:rPr>
              <w:t>XX%-XX%</w:t>
            </w:r>
          </w:p>
        </w:tc>
        <w:tc>
          <w:tcPr>
            <w:tcW w:w="2482" w:type="dxa"/>
          </w:tcPr>
          <w:p w14:paraId="19486BDE" w14:textId="0FFE3C91" w:rsidR="00DD7102" w:rsidRDefault="00DD7102" w:rsidP="00DD7102">
            <w:pPr>
              <w:jc w:val="center"/>
            </w:pPr>
            <w:r>
              <w:t>C</w:t>
            </w:r>
          </w:p>
        </w:tc>
      </w:tr>
      <w:tr w:rsidR="00DD7102" w14:paraId="48D4B369" w14:textId="78218F1D" w:rsidTr="00DD7102">
        <w:trPr>
          <w:trHeight w:val="324"/>
          <w:jc w:val="center"/>
        </w:trPr>
        <w:tc>
          <w:tcPr>
            <w:tcW w:w="2482" w:type="dxa"/>
          </w:tcPr>
          <w:p w14:paraId="49EDF4CA" w14:textId="00626B90" w:rsidR="00DD7102" w:rsidRPr="00406CA5" w:rsidRDefault="00406CA5" w:rsidP="00DD7102">
            <w:pPr>
              <w:jc w:val="center"/>
              <w:rPr>
                <w:iCs/>
              </w:rPr>
            </w:pPr>
            <w:r w:rsidRPr="00406CA5">
              <w:rPr>
                <w:iCs/>
              </w:rPr>
              <w:t>XX%-XX%</w:t>
            </w:r>
          </w:p>
        </w:tc>
        <w:tc>
          <w:tcPr>
            <w:tcW w:w="2482" w:type="dxa"/>
          </w:tcPr>
          <w:p w14:paraId="3A7C52EE" w14:textId="27663189" w:rsidR="00DD7102" w:rsidRDefault="00DD7102" w:rsidP="00DD7102">
            <w:pPr>
              <w:jc w:val="center"/>
            </w:pPr>
            <w:r>
              <w:t>C-</w:t>
            </w:r>
          </w:p>
        </w:tc>
      </w:tr>
      <w:tr w:rsidR="00DD7102" w14:paraId="5E839182" w14:textId="0971DBA7" w:rsidTr="00DD7102">
        <w:trPr>
          <w:trHeight w:val="324"/>
          <w:jc w:val="center"/>
        </w:trPr>
        <w:tc>
          <w:tcPr>
            <w:tcW w:w="2482" w:type="dxa"/>
          </w:tcPr>
          <w:p w14:paraId="7C01721C" w14:textId="5AC52C1B" w:rsidR="00DD7102" w:rsidRPr="00406CA5" w:rsidRDefault="00406CA5" w:rsidP="00DD7102">
            <w:pPr>
              <w:jc w:val="center"/>
              <w:rPr>
                <w:iCs/>
              </w:rPr>
            </w:pPr>
            <w:r w:rsidRPr="00406CA5">
              <w:rPr>
                <w:iCs/>
              </w:rPr>
              <w:t>XX%-XX%</w:t>
            </w:r>
          </w:p>
        </w:tc>
        <w:tc>
          <w:tcPr>
            <w:tcW w:w="2482" w:type="dxa"/>
          </w:tcPr>
          <w:p w14:paraId="7004429F" w14:textId="16872AB7" w:rsidR="00DD7102" w:rsidRDefault="00DD7102" w:rsidP="00DD7102">
            <w:pPr>
              <w:jc w:val="center"/>
            </w:pPr>
            <w:r>
              <w:t>D</w:t>
            </w:r>
          </w:p>
        </w:tc>
      </w:tr>
      <w:tr w:rsidR="00DD7102" w14:paraId="743F9D71" w14:textId="45FA2FA1" w:rsidTr="00DD7102">
        <w:trPr>
          <w:trHeight w:val="300"/>
          <w:jc w:val="center"/>
        </w:trPr>
        <w:tc>
          <w:tcPr>
            <w:tcW w:w="2482" w:type="dxa"/>
            <w:tcBorders>
              <w:bottom w:val="single" w:sz="4" w:space="0" w:color="auto"/>
            </w:tcBorders>
          </w:tcPr>
          <w:p w14:paraId="152CD6F8" w14:textId="38F31437" w:rsidR="00DD7102" w:rsidRPr="00406CA5" w:rsidRDefault="00406CA5" w:rsidP="00DD7102">
            <w:pPr>
              <w:jc w:val="center"/>
              <w:rPr>
                <w:iCs/>
              </w:rPr>
            </w:pPr>
            <w:r w:rsidRPr="00406CA5">
              <w:rPr>
                <w:iCs/>
              </w:rPr>
              <w:t>Under XX%</w:t>
            </w:r>
          </w:p>
        </w:tc>
        <w:tc>
          <w:tcPr>
            <w:tcW w:w="2482" w:type="dxa"/>
            <w:tcBorders>
              <w:bottom w:val="single" w:sz="4" w:space="0" w:color="auto"/>
            </w:tcBorders>
          </w:tcPr>
          <w:p w14:paraId="2A020191" w14:textId="5A7E6F11" w:rsidR="00DD7102" w:rsidRDefault="00DD7102" w:rsidP="00DD7102">
            <w:pPr>
              <w:jc w:val="center"/>
            </w:pPr>
            <w:r>
              <w:t>F</w:t>
            </w:r>
          </w:p>
        </w:tc>
      </w:tr>
    </w:tbl>
    <w:p w14:paraId="7E6E574A" w14:textId="77777777" w:rsidR="00BB5B4B" w:rsidRPr="00654D6B" w:rsidRDefault="00BB5B4B" w:rsidP="00063F6D"/>
    <w:p w14:paraId="659C5ABE" w14:textId="25BBFC7E" w:rsidR="00063F6D" w:rsidRDefault="008F2C63" w:rsidP="007E36A1">
      <w:pPr>
        <w:pStyle w:val="Heading3"/>
      </w:pPr>
      <w:r w:rsidRPr="00654D6B">
        <w:t>Final Grade Calculation</w:t>
      </w:r>
    </w:p>
    <w:p w14:paraId="37D2442B" w14:textId="77777777" w:rsidR="001D15C9" w:rsidRPr="001D15C9" w:rsidRDefault="001D15C9" w:rsidP="001D15C9"/>
    <w:p w14:paraId="3E85E8CF" w14:textId="1FFF91F8" w:rsidR="00C15607" w:rsidRDefault="00C15607" w:rsidP="00F40492"/>
    <w:p w14:paraId="2A8FAA31" w14:textId="188DE9A9" w:rsidR="001D15C9" w:rsidRDefault="001D15C9" w:rsidP="00F40492">
      <w:pPr>
        <w:rPr>
          <w:rFonts w:ascii="Avenir Next" w:eastAsiaTheme="majorEastAsia" w:hAnsi="Avenir Next" w:cstheme="majorBidi"/>
          <w:b/>
          <w:bCs/>
          <w:color w:val="000000" w:themeColor="text1"/>
          <w:sz w:val="26"/>
          <w:szCs w:val="26"/>
        </w:rPr>
      </w:pPr>
      <w:r w:rsidRPr="001D15C9">
        <w:rPr>
          <w:rFonts w:ascii="Avenir Next" w:eastAsiaTheme="majorEastAsia" w:hAnsi="Avenir Next" w:cstheme="majorBidi"/>
          <w:b/>
          <w:bCs/>
          <w:color w:val="000000" w:themeColor="text1"/>
          <w:sz w:val="26"/>
          <w:szCs w:val="26"/>
        </w:rPr>
        <w:t>Assignment Overview and Rubrics</w:t>
      </w:r>
    </w:p>
    <w:p w14:paraId="1749A92D" w14:textId="77777777" w:rsidR="001D15C9" w:rsidRDefault="001D15C9" w:rsidP="00F40492">
      <w:pPr>
        <w:rPr>
          <w:rFonts w:ascii="Avenir Next" w:eastAsiaTheme="majorEastAsia" w:hAnsi="Avenir Next" w:cstheme="majorBidi"/>
          <w:b/>
          <w:bCs/>
          <w:color w:val="000000" w:themeColor="text1"/>
          <w:sz w:val="26"/>
          <w:szCs w:val="26"/>
        </w:rPr>
      </w:pPr>
    </w:p>
    <w:p w14:paraId="63B9A13D" w14:textId="636B826A" w:rsidR="001D15C9" w:rsidRDefault="001D15C9" w:rsidP="00F40492">
      <w:pPr>
        <w:rPr>
          <w:rFonts w:ascii="Avenir Next" w:eastAsiaTheme="majorEastAsia" w:hAnsi="Avenir Next" w:cstheme="majorBidi"/>
          <w:b/>
          <w:bCs/>
          <w:color w:val="000000" w:themeColor="text1"/>
          <w:sz w:val="26"/>
          <w:szCs w:val="26"/>
        </w:rPr>
      </w:pPr>
    </w:p>
    <w:p w14:paraId="2E7713DF" w14:textId="10269EA4" w:rsidR="001D15C9" w:rsidRDefault="001D15C9" w:rsidP="00F40492">
      <w:pPr>
        <w:rPr>
          <w:rFonts w:ascii="Avenir Next" w:eastAsiaTheme="majorEastAsia" w:hAnsi="Avenir Next" w:cstheme="majorBidi"/>
          <w:b/>
          <w:bCs/>
          <w:color w:val="000000" w:themeColor="text1"/>
          <w:sz w:val="26"/>
          <w:szCs w:val="26"/>
        </w:rPr>
      </w:pPr>
      <w:r>
        <w:rPr>
          <w:rFonts w:ascii="Avenir Next" w:eastAsiaTheme="majorEastAsia" w:hAnsi="Avenir Next" w:cstheme="majorBidi"/>
          <w:b/>
          <w:bCs/>
          <w:color w:val="000000" w:themeColor="text1"/>
          <w:sz w:val="26"/>
          <w:szCs w:val="26"/>
        </w:rPr>
        <w:t>Incomplete Policy</w:t>
      </w:r>
    </w:p>
    <w:p w14:paraId="68D01BBE" w14:textId="77777777" w:rsidR="00F82DB6" w:rsidRPr="00654D6B" w:rsidRDefault="00F82DB6" w:rsidP="00F82DB6">
      <w:r w:rsidRPr="00654D6B">
        <w:t>At the discretion of the faculty member and before the end of the semester, the grade of I (Incomplete) may be given to a student who, because of extenuating circumstances, is unable to complete the course during the semester. The grade of Incomplete may be given only if the student is receiving a passing grade for the coursework completed. Students on academic probation may not receive an Incomplete. The instructor must provide in writing to the student the conditions, which are described below, for satisfying the Incomplete and must enter those same conditions when posting the grades for the course. The student is responsible for verifying that the conditions were entered correctly.</w:t>
      </w:r>
    </w:p>
    <w:p w14:paraId="12C527A3" w14:textId="77777777" w:rsidR="00F82DB6" w:rsidRPr="00654D6B" w:rsidRDefault="00F82DB6" w:rsidP="00F82DB6"/>
    <w:p w14:paraId="308E4300" w14:textId="77777777" w:rsidR="00F82DB6" w:rsidRPr="00654D6B" w:rsidRDefault="00F82DB6" w:rsidP="00F82DB6">
      <w:r w:rsidRPr="00654D6B">
        <w:t xml:space="preserve">Conditions for satisfying the Incomplete must include what work needs to be completed, by when the work must be completed, and what the course grade will be if the student fails to complete that work. At the latest, any outstanding coursework must be completed before the end </w:t>
      </w:r>
      <w:r w:rsidRPr="00654D6B">
        <w:lastRenderedPageBreak/>
        <w:t>of the following semester, absent an agreement to the contrary. Instructors will submit the grade of I and the aforementioned conditions to the Office of the University Registrar when submitting all other final grades for the course. If the student does not meet the conditions, the Office of the University Registrar will assign the default grade automatically.</w:t>
      </w:r>
    </w:p>
    <w:p w14:paraId="5CAD25F9" w14:textId="77777777" w:rsidR="00F82DB6" w:rsidRPr="00654D6B" w:rsidRDefault="00F82DB6" w:rsidP="00F82DB6"/>
    <w:p w14:paraId="7996AC87" w14:textId="77777777" w:rsidR="00F82DB6" w:rsidRPr="00654D6B" w:rsidRDefault="00F82DB6" w:rsidP="00F82DB6">
      <w:r w:rsidRPr="00654D6B">
        <w:t>The Associate Dean of the Academic Unit, with the concurrence of the instructor, may grant an extension beyond the agreed deadline, but only in extraordinary circumstances. Incomplete courses may not be retroactively dropped. An Incomplete may not stand as a permanent grade and must be resolved before a degree can be awarded.</w:t>
      </w:r>
    </w:p>
    <w:p w14:paraId="34A0A87C" w14:textId="20C62A9E" w:rsidR="00F82DB6" w:rsidRPr="00F82DB6" w:rsidRDefault="00F82DB6" w:rsidP="00F40492">
      <w:hyperlink r:id="rId10" w:history="1">
        <w:r w:rsidRPr="00654D6B">
          <w:rPr>
            <w:rStyle w:val="Hyperlink"/>
          </w:rPr>
          <w:t>More information on AU Regulations and Policies</w:t>
        </w:r>
      </w:hyperlink>
      <w:r w:rsidRPr="00654D6B">
        <w:t>.</w:t>
      </w:r>
    </w:p>
    <w:p w14:paraId="170A3DE7" w14:textId="77777777" w:rsidR="001D15C9" w:rsidRDefault="001D15C9" w:rsidP="00F40492"/>
    <w:p w14:paraId="665A63E9" w14:textId="77777777" w:rsidR="001D15C9" w:rsidRPr="00654D6B" w:rsidRDefault="001D15C9" w:rsidP="00F40492"/>
    <w:p w14:paraId="3C05835C" w14:textId="3445DC6D" w:rsidR="004D4E97" w:rsidRDefault="0048027C" w:rsidP="007E36A1">
      <w:pPr>
        <w:pStyle w:val="Heading2"/>
      </w:pPr>
      <w:r w:rsidRPr="00654D6B">
        <w:t>Course Schedule</w:t>
      </w:r>
    </w:p>
    <w:p w14:paraId="2C33B290" w14:textId="7EF587BA" w:rsidR="006E4D32" w:rsidRDefault="006E4D32" w:rsidP="00313136"/>
    <w:p w14:paraId="2C64EF58" w14:textId="77777777" w:rsidR="001D15C9" w:rsidRDefault="001D15C9" w:rsidP="00313136"/>
    <w:p w14:paraId="1A136BCD" w14:textId="77777777" w:rsidR="00B760A3" w:rsidRPr="00654D6B" w:rsidRDefault="00B760A3" w:rsidP="00313136"/>
    <w:p w14:paraId="6CA988E2" w14:textId="0B63D9CA" w:rsidR="001D15C9" w:rsidRDefault="001D15C9" w:rsidP="001D15C9">
      <w:pPr>
        <w:pStyle w:val="Heading2"/>
      </w:pPr>
      <w:r>
        <w:t>Sharing Course Content</w:t>
      </w:r>
    </w:p>
    <w:p w14:paraId="10A6D115" w14:textId="77777777" w:rsidR="001D15C9" w:rsidRPr="001D15C9" w:rsidRDefault="001D15C9" w:rsidP="001D15C9"/>
    <w:p w14:paraId="5E3022C7" w14:textId="77777777" w:rsidR="001D15C9" w:rsidRDefault="001D15C9" w:rsidP="001D15C9">
      <w:pPr>
        <w:pStyle w:val="Heading2"/>
      </w:pPr>
    </w:p>
    <w:p w14:paraId="3FC6E364" w14:textId="35F9AA84" w:rsidR="006E4D32" w:rsidRPr="000525D2" w:rsidRDefault="006E4D32" w:rsidP="007E36A1">
      <w:pPr>
        <w:pStyle w:val="Heading2"/>
        <w:rPr>
          <w:bCs/>
        </w:rPr>
      </w:pPr>
      <w:r w:rsidRPr="00654D6B">
        <w:t>University</w:t>
      </w:r>
      <w:r w:rsidR="00234008" w:rsidRPr="00654D6B">
        <w:t>-Wide Policies</w:t>
      </w:r>
      <w:r w:rsidR="001D15C9">
        <w:t xml:space="preserve"> </w:t>
      </w:r>
    </w:p>
    <w:p w14:paraId="34388095" w14:textId="0510FC52" w:rsidR="00234008" w:rsidRPr="00654D6B" w:rsidRDefault="00234008" w:rsidP="00234008"/>
    <w:p w14:paraId="77AC9866" w14:textId="05214DA0" w:rsidR="00234008" w:rsidRPr="00654D6B" w:rsidRDefault="00234008" w:rsidP="007E36A1">
      <w:pPr>
        <w:pStyle w:val="Heading3"/>
      </w:pPr>
      <w:r w:rsidRPr="00654D6B">
        <w:t>Academic Integrity</w:t>
      </w:r>
    </w:p>
    <w:p w14:paraId="3DBB9891" w14:textId="2B743AAC" w:rsidR="00234008" w:rsidRPr="00654D6B" w:rsidRDefault="00234008" w:rsidP="00234008">
      <w:r w:rsidRPr="00654D6B">
        <w:t xml:space="preserve">Standards of academic conduct are set forth in the university’s </w:t>
      </w:r>
      <w:hyperlink r:id="rId11" w:history="1">
        <w:r w:rsidRPr="000525D2">
          <w:rPr>
            <w:rStyle w:val="Hyperlink"/>
          </w:rPr>
          <w:t>Academic Integrity Code</w:t>
        </w:r>
      </w:hyperlink>
      <w:r w:rsidRPr="00654D6B">
        <w:t>. By registering for this course, students have acknowledged their awareness of the Academic Integrity Code and they are obliged to become familiar with their rights and responsibilities as defined by the Code. Violations of the Academic Integrity Code will not be treated lightly and disciplinary action will be taken should violations occur. This includes cheating, fabrication, and plagiarism.</w:t>
      </w:r>
    </w:p>
    <w:p w14:paraId="2136959C" w14:textId="46163659" w:rsidR="00680BDF" w:rsidRPr="00654D6B" w:rsidRDefault="00680BDF" w:rsidP="00234008"/>
    <w:p w14:paraId="5D2FC268" w14:textId="4D86CF34" w:rsidR="00680BDF" w:rsidRPr="00654D6B" w:rsidRDefault="00680BDF" w:rsidP="007E36A1">
      <w:pPr>
        <w:pStyle w:val="Heading3"/>
      </w:pPr>
      <w:r w:rsidRPr="00654D6B">
        <w:t>Defining and Reporting Discrimination</w:t>
      </w:r>
      <w:r w:rsidR="00F47892">
        <w:t xml:space="preserve"> and Non-Title IX Sexual Misconduct Policy</w:t>
      </w:r>
    </w:p>
    <w:p w14:paraId="18CE3F67" w14:textId="1376E30C" w:rsidR="00F47892" w:rsidRDefault="00F47892" w:rsidP="00F47892">
      <w:r w:rsidRPr="00F47892">
        <w:t>American University is an equal opportunity, affirmative action institution that operates in compliance with applicable laws and regulations. The University does not discriminate on the basis of race, color, national origin, religion, sex, pregnancy or parenting, age, sexual orientation, disability, marital status, personal appearance, gender identity and expression, family responsibilities, political affiliation, source of income, veteran status, an individual’s genetic information or any other bases under applicable federal and local laws and regulations (collectively “Protected Bases”) in its programs and activities. The University expressly prohibits any form of discriminatory harassment including sexual harassment, dating and domestic violence, rape, sexual assault, sexual exploitation and stalking.</w:t>
      </w:r>
    </w:p>
    <w:p w14:paraId="52F0FF00" w14:textId="77777777" w:rsidR="00F47892" w:rsidRPr="00F47892" w:rsidRDefault="00F47892" w:rsidP="00F47892"/>
    <w:p w14:paraId="3B631E79" w14:textId="14B2A5DF" w:rsidR="00F47892" w:rsidRDefault="00F47892" w:rsidP="00F47892">
      <w:r w:rsidRPr="00F47892">
        <w:t xml:space="preserve">As a faculty member, I am required to report discriminatory or harassing conduct to the university if I witness it or become aware of it – regardless of the location of the incident. There are four confidential resource on campus if you wish to speak to someone who is not required to report: Counseling Center, victim advocates in OASIS, medical providers in the Student Health Center, and ordained clergy in the Kay Spiritual Life Center. If you experience any of the above, </w:t>
      </w:r>
      <w:r w:rsidRPr="00F47892">
        <w:lastRenderedPageBreak/>
        <w:t xml:space="preserve">you have the option of filing a report with </w:t>
      </w:r>
      <w:hyperlink r:id="rId12" w:history="1">
        <w:r w:rsidRPr="00F47892">
          <w:rPr>
            <w:rStyle w:val="Hyperlink"/>
          </w:rPr>
          <w:t>University Police</w:t>
        </w:r>
      </w:hyperlink>
      <w:r w:rsidRPr="00F47892">
        <w:t xml:space="preserve"> (202-885-2527), the </w:t>
      </w:r>
      <w:hyperlink r:id="rId13" w:history="1">
        <w:r w:rsidRPr="00F47892">
          <w:rPr>
            <w:rStyle w:val="Hyperlink"/>
          </w:rPr>
          <w:t>Office of the Dean of Students</w:t>
        </w:r>
      </w:hyperlink>
      <w:r w:rsidRPr="00F47892">
        <w:t xml:space="preserve"> (</w:t>
      </w:r>
      <w:hyperlink r:id="rId14" w:history="1">
        <w:r w:rsidRPr="00F47892">
          <w:rPr>
            <w:rStyle w:val="Hyperlink"/>
          </w:rPr>
          <w:t>dos@american.edu</w:t>
        </w:r>
      </w:hyperlink>
      <w:r w:rsidRPr="00F47892">
        <w:t xml:space="preserve"> or 202-885-3300), or the </w:t>
      </w:r>
      <w:hyperlink r:id="rId15" w:history="1">
        <w:r w:rsidRPr="00F47892">
          <w:rPr>
            <w:rStyle w:val="Hyperlink"/>
          </w:rPr>
          <w:t>Title IX Office</w:t>
        </w:r>
      </w:hyperlink>
      <w:r w:rsidRPr="00F47892">
        <w:t xml:space="preserve"> (202-885-8080 or </w:t>
      </w:r>
      <w:hyperlink r:id="rId16" w:history="1">
        <w:r w:rsidRPr="00F47892">
          <w:rPr>
            <w:rStyle w:val="Hyperlink"/>
          </w:rPr>
          <w:t>TitleIX@american.edu</w:t>
        </w:r>
      </w:hyperlink>
      <w:r w:rsidRPr="00F47892">
        <w:t xml:space="preserve">). For more information, including a list of supportive resources on and off-campus, contact </w:t>
      </w:r>
      <w:hyperlink r:id="rId17" w:history="1">
        <w:r w:rsidRPr="00F47892">
          <w:rPr>
            <w:rStyle w:val="Hyperlink"/>
          </w:rPr>
          <w:t>OASIS</w:t>
        </w:r>
      </w:hyperlink>
      <w:r w:rsidRPr="00F47892">
        <w:t xml:space="preserve"> (</w:t>
      </w:r>
      <w:hyperlink r:id="rId18" w:history="1">
        <w:r w:rsidRPr="00F47892">
          <w:rPr>
            <w:rStyle w:val="Hyperlink"/>
          </w:rPr>
          <w:t>oasis@american.edu</w:t>
        </w:r>
      </w:hyperlink>
      <w:r w:rsidRPr="00F47892">
        <w:t xml:space="preserve"> or 202-885-7070) or check out the </w:t>
      </w:r>
      <w:hyperlink r:id="rId19" w:history="1">
        <w:r w:rsidRPr="00F47892">
          <w:rPr>
            <w:rStyle w:val="Hyperlink"/>
          </w:rPr>
          <w:t>Support Guide on the Title IX webpage</w:t>
        </w:r>
      </w:hyperlink>
      <w:r w:rsidRPr="00F47892">
        <w:t>.</w:t>
      </w:r>
    </w:p>
    <w:p w14:paraId="2492254B" w14:textId="15AD7A73" w:rsidR="00F80B79" w:rsidRDefault="00F80B79" w:rsidP="00F47892"/>
    <w:p w14:paraId="3B3F5D34" w14:textId="59332FCC" w:rsidR="00F80B79" w:rsidRDefault="00F80B79" w:rsidP="00F47892">
      <w:r w:rsidRPr="00F80B79">
        <w:t xml:space="preserve">Review the complete </w:t>
      </w:r>
      <w:hyperlink r:id="rId20" w:history="1">
        <w:r w:rsidRPr="00F80B79">
          <w:rPr>
            <w:rStyle w:val="Hyperlink"/>
          </w:rPr>
          <w:t>Discrimination and Non-Title IX Sexual Misconduct Policy</w:t>
        </w:r>
      </w:hyperlink>
      <w:r w:rsidRPr="00F80B79">
        <w:t>.</w:t>
      </w:r>
    </w:p>
    <w:p w14:paraId="38563EF5" w14:textId="49DB820A" w:rsidR="00F47892" w:rsidRDefault="00F47892" w:rsidP="00F47892"/>
    <w:p w14:paraId="05188ADC" w14:textId="1F76680D" w:rsidR="002F49B8" w:rsidRPr="002F49B8" w:rsidRDefault="002F49B8" w:rsidP="002F49B8">
      <w:pPr>
        <w:pStyle w:val="Heading3"/>
      </w:pPr>
      <w:r>
        <w:t>Defining and Reporting Title IX Sexual Harassment Policy</w:t>
      </w:r>
    </w:p>
    <w:p w14:paraId="74CED2A6" w14:textId="2C85B6F7" w:rsidR="002F49B8" w:rsidRDefault="002F49B8" w:rsidP="002F49B8">
      <w:r w:rsidRPr="002F49B8">
        <w:t>American University does not discriminate on the basis of sex in the education program or activity that it operates, which includes admission and employment. Consistent with the procedures set forth and referenced in this Policy, the University will take steps to eliminate Title IX Sexual 2 Harassment, prevent its recurrence, and remedy any discriminatory effects for members of the AU Community.</w:t>
      </w:r>
    </w:p>
    <w:p w14:paraId="20C8F487" w14:textId="77777777" w:rsidR="002F49B8" w:rsidRPr="002F49B8" w:rsidRDefault="002F49B8" w:rsidP="002F49B8"/>
    <w:p w14:paraId="3D742C3B" w14:textId="5859ADDE" w:rsidR="002F49B8" w:rsidRDefault="002F49B8" w:rsidP="002F49B8">
      <w:r w:rsidRPr="002F49B8">
        <w:t>It is the responsibility of every member of the AU Community to foster an environment free of Title IX Sexual Harassment. All members of the AU Community are encouraged to take reasonable and prudent actions to prevent or stop an act of Title IX Sexual Harassment. Taking action may include direct intervention when safe to do so, enlisting the assistance of friends, contacting law enforcement, or seeking assistance from a person in authority.</w:t>
      </w:r>
    </w:p>
    <w:p w14:paraId="036FFACA" w14:textId="77777777" w:rsidR="002F49B8" w:rsidRPr="002F49B8" w:rsidRDefault="002F49B8" w:rsidP="002F49B8"/>
    <w:p w14:paraId="2CD1AC13" w14:textId="79F4C263" w:rsidR="002F49B8" w:rsidRDefault="002F49B8" w:rsidP="002F49B8">
      <w:r w:rsidRPr="002F49B8">
        <w:t xml:space="preserve">AU Community members employed by the University (including student employees, such as teaching assistants, resident assistants, and orientation leaders) and individuals covered by the University’s Out-of-State Staffing Policy have a duty to report Title IX Sexual Harassment to the </w:t>
      </w:r>
      <w:hyperlink r:id="rId21" w:history="1">
        <w:r w:rsidRPr="002F49B8">
          <w:rPr>
            <w:rStyle w:val="Hyperlink"/>
          </w:rPr>
          <w:t>Title IX Coordinator</w:t>
        </w:r>
      </w:hyperlink>
      <w:r w:rsidRPr="002F49B8">
        <w:t xml:space="preserve"> (202-885-8080), when they become aware of such conduct.</w:t>
      </w:r>
    </w:p>
    <w:p w14:paraId="3DD25A35" w14:textId="77777777" w:rsidR="002F49B8" w:rsidRPr="002F49B8" w:rsidRDefault="002F49B8" w:rsidP="002F49B8"/>
    <w:p w14:paraId="02C32A2D" w14:textId="77777777" w:rsidR="002F49B8" w:rsidRPr="002F49B8" w:rsidRDefault="002F49B8" w:rsidP="002F49B8">
      <w:r w:rsidRPr="002F49B8">
        <w:t xml:space="preserve">Review the complete </w:t>
      </w:r>
      <w:hyperlink r:id="rId22" w:history="1">
        <w:r w:rsidRPr="002F49B8">
          <w:rPr>
            <w:rStyle w:val="Hyperlink"/>
          </w:rPr>
          <w:t>Title IX Sexual Harassment Policy</w:t>
        </w:r>
      </w:hyperlink>
      <w:r w:rsidRPr="002F49B8">
        <w:t>.</w:t>
      </w:r>
    </w:p>
    <w:p w14:paraId="43EB38D7" w14:textId="77777777" w:rsidR="002F49B8" w:rsidRPr="00654D6B" w:rsidRDefault="002F49B8" w:rsidP="00B70529"/>
    <w:p w14:paraId="121546F5" w14:textId="43F47D75" w:rsidR="002E111F" w:rsidRDefault="00F80B79" w:rsidP="007E36A1">
      <w:pPr>
        <w:pStyle w:val="Heading3"/>
      </w:pPr>
      <w:r>
        <w:t>Policy on Wearing Protective Masks in the Classroom</w:t>
      </w:r>
    </w:p>
    <w:p w14:paraId="02A30B48" w14:textId="36B32334" w:rsidR="00F80B79" w:rsidRPr="00F80B79" w:rsidRDefault="00F80B79" w:rsidP="00F80B79">
      <w:r w:rsidRPr="00F80B79">
        <w:t>If a student declines to wear a face mask or shield in a classroom, a faculty member is required to give the student a chance to comply before referring the matter to the dean of students. Students who do not abide by the requirements will first be offered a disposable face mask, if possible. If they refuse to comply, they will be asked to leave campus, but not before being given options of how they can be served virtually. University police are not responsible for enforcement and should not be contacted if possible.</w:t>
      </w:r>
    </w:p>
    <w:p w14:paraId="7427ED3B" w14:textId="77777777" w:rsidR="002E111F" w:rsidRDefault="002E111F" w:rsidP="007E36A1">
      <w:pPr>
        <w:pStyle w:val="Heading3"/>
      </w:pPr>
    </w:p>
    <w:p w14:paraId="75EF1F6E" w14:textId="554FDEEC" w:rsidR="00432FAD" w:rsidRPr="00654D6B" w:rsidRDefault="003C5FB7" w:rsidP="007E36A1">
      <w:pPr>
        <w:pStyle w:val="Heading3"/>
      </w:pPr>
      <w:r w:rsidRPr="00654D6B">
        <w:t>Emergency Preparedness</w:t>
      </w:r>
    </w:p>
    <w:p w14:paraId="3E8A2CB7" w14:textId="7BC43C55" w:rsidR="00137149" w:rsidRPr="00654D6B" w:rsidRDefault="00137149" w:rsidP="00137149">
      <w:r w:rsidRPr="00654D6B">
        <w:t xml:space="preserve">In the event of an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the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emergency-related absence. Students are responsible for checking </w:t>
      </w:r>
      <w:r w:rsidRPr="00654D6B">
        <w:lastRenderedPageBreak/>
        <w:t xml:space="preserve">their AU email regularly and keeping themselves informed of emergencies. In the event of an emergency, students should refer to the AU Student Portal, the </w:t>
      </w:r>
      <w:hyperlink r:id="rId23" w:history="1">
        <w:r w:rsidRPr="00654D6B">
          <w:rPr>
            <w:rStyle w:val="Hyperlink"/>
          </w:rPr>
          <w:t>AU w</w:t>
        </w:r>
        <w:r w:rsidRPr="00654D6B">
          <w:rPr>
            <w:rStyle w:val="Hyperlink"/>
          </w:rPr>
          <w:t>e</w:t>
        </w:r>
        <w:r w:rsidRPr="00654D6B">
          <w:rPr>
            <w:rStyle w:val="Hyperlink"/>
          </w:rPr>
          <w:t>bsite</w:t>
        </w:r>
      </w:hyperlink>
      <w:r w:rsidRPr="00654D6B">
        <w:t>, and the AU information line at (202) 885-1100 for general university-wide information, as well as contact their faculty and/or respective dean’s office for course and school/college specific information.</w:t>
      </w:r>
    </w:p>
    <w:p w14:paraId="14676FE9" w14:textId="04E4CFAD" w:rsidR="00137149" w:rsidRPr="00654D6B" w:rsidRDefault="00137149" w:rsidP="00137149"/>
    <w:p w14:paraId="58FFE2D5" w14:textId="34A106D9" w:rsidR="009641E1" w:rsidRPr="00654D6B" w:rsidRDefault="009641E1" w:rsidP="007E36A1">
      <w:pPr>
        <w:pStyle w:val="Heading3"/>
      </w:pPr>
      <w:r w:rsidRPr="00654D6B">
        <w:t>Student Code of Conduct</w:t>
      </w:r>
    </w:p>
    <w:p w14:paraId="2090924B" w14:textId="7CA3F496" w:rsidR="009641E1" w:rsidRPr="00654D6B" w:rsidRDefault="009641E1" w:rsidP="009641E1">
      <w:r w:rsidRPr="00654D6B">
        <w:t>The central commitment of American University is the development of thoughtful, responsible human beings in the context of a challenging yet supportive academic community. The</w:t>
      </w:r>
      <w:hyperlink r:id="rId24" w:history="1">
        <w:r w:rsidRPr="00654D6B">
          <w:rPr>
            <w:rStyle w:val="Hyperlink"/>
          </w:rPr>
          <w:t xml:space="preserve"> Student Code of Conduct</w:t>
        </w:r>
      </w:hyperlink>
      <w:r w:rsidRPr="00654D6B">
        <w:t xml:space="preserve"> is designed to benefit the American University community and to assist in forming the highest standards of ethics and morals among its members. By registering for this course, students have acknowledged their awareness of the Student Code of Conduct and they are obliged to become familiar with their rights and responsibilities as defined by the Code.</w:t>
      </w:r>
    </w:p>
    <w:p w14:paraId="71EF2724" w14:textId="7EBD8736" w:rsidR="009641E1" w:rsidRPr="00654D6B" w:rsidRDefault="009641E1" w:rsidP="009641E1"/>
    <w:p w14:paraId="47F91BA0" w14:textId="1A7C030B" w:rsidR="009641E1" w:rsidRPr="00654D6B" w:rsidRDefault="009630E3" w:rsidP="007E36A1">
      <w:pPr>
        <w:pStyle w:val="Heading3"/>
      </w:pPr>
      <w:r w:rsidRPr="00654D6B">
        <w:t>Religious Observances</w:t>
      </w:r>
    </w:p>
    <w:p w14:paraId="228D77D1" w14:textId="50D345F4" w:rsidR="009630E3" w:rsidRPr="00654D6B" w:rsidRDefault="00496FD3" w:rsidP="00496FD3">
      <w:r w:rsidRPr="00654D6B">
        <w:t xml:space="preserve">Students will be provided the opportunity to make up any examination, study, or work requirements that may be missed due to a religious observance, provided they notify their instructors before the end of the second week of classes. Please send this notification through email to the professor. For additional information, see American University’s </w:t>
      </w:r>
      <w:hyperlink r:id="rId25" w:history="1">
        <w:r w:rsidRPr="00654D6B">
          <w:rPr>
            <w:rStyle w:val="Hyperlink"/>
          </w:rPr>
          <w:t>religious observances policy</w:t>
        </w:r>
      </w:hyperlink>
      <w:r w:rsidRPr="00654D6B">
        <w:t>.</w:t>
      </w:r>
    </w:p>
    <w:p w14:paraId="542F8D03" w14:textId="3F419118" w:rsidR="00514BE8" w:rsidRPr="00654D6B" w:rsidRDefault="00514BE8" w:rsidP="00496FD3"/>
    <w:p w14:paraId="516819DD" w14:textId="0703369A" w:rsidR="00514BE8" w:rsidRPr="00654D6B" w:rsidRDefault="00514BE8" w:rsidP="007E36A1">
      <w:pPr>
        <w:pStyle w:val="Heading3"/>
      </w:pPr>
      <w:r w:rsidRPr="00654D6B">
        <w:t>Use of Student Work</w:t>
      </w:r>
    </w:p>
    <w:p w14:paraId="2152748F" w14:textId="73C79F8F" w:rsidR="00514BE8" w:rsidRPr="00654D6B" w:rsidRDefault="00514BE8" w:rsidP="00514BE8">
      <w:r w:rsidRPr="00654D6B">
        <w:t>The professor will use academic work that you complete for educational purposes in this course during this semester. Your registration and continued enrollment constitute your consent.</w:t>
      </w:r>
    </w:p>
    <w:p w14:paraId="4C411547" w14:textId="77DA2705" w:rsidR="009A49F1" w:rsidRPr="00654D6B" w:rsidRDefault="009A49F1" w:rsidP="00514BE8"/>
    <w:p w14:paraId="0717F00B" w14:textId="18214E8A" w:rsidR="009A49F1" w:rsidRPr="00654D6B" w:rsidRDefault="009A49F1" w:rsidP="007E36A1">
      <w:pPr>
        <w:pStyle w:val="Heading2"/>
      </w:pPr>
      <w:r w:rsidRPr="00654D6B">
        <w:t>Academic Support Services</w:t>
      </w:r>
    </w:p>
    <w:p w14:paraId="50CED19C" w14:textId="294C2078" w:rsidR="009A49F1" w:rsidRPr="00654D6B" w:rsidRDefault="009A49F1" w:rsidP="009A49F1">
      <w:pPr>
        <w:jc w:val="center"/>
      </w:pPr>
    </w:p>
    <w:p w14:paraId="367D9C0C" w14:textId="26994683" w:rsidR="00E922BC" w:rsidRPr="00654D6B" w:rsidRDefault="009A49F1" w:rsidP="00E922BC">
      <w:pPr>
        <w:rPr>
          <w:b/>
        </w:rPr>
      </w:pPr>
      <w:r w:rsidRPr="007E36A1">
        <w:rPr>
          <w:rStyle w:val="Heading3Char"/>
        </w:rPr>
        <w:t>Academic Su</w:t>
      </w:r>
      <w:r w:rsidR="00F82DB6">
        <w:rPr>
          <w:rStyle w:val="Heading3Char"/>
        </w:rPr>
        <w:t>ccess Coaching</w:t>
      </w:r>
      <w:r w:rsidR="00E922BC" w:rsidRPr="00654D6B">
        <w:br/>
      </w:r>
      <w:hyperlink r:id="rId26" w:history="1">
        <w:r w:rsidR="00F82DB6" w:rsidRPr="00F82DB6">
          <w:rPr>
            <w:rStyle w:val="Hyperlink"/>
            <w:bCs/>
          </w:rPr>
          <w:t xml:space="preserve">Academic Success Coaching </w:t>
        </w:r>
      </w:hyperlink>
      <w:r w:rsidR="00F82DB6" w:rsidRPr="00F82DB6">
        <w:rPr>
          <w:bCs/>
        </w:rPr>
        <w:t xml:space="preserve">is a free one-on-one meeting between a student and a professional academic coach to build or enhance time management, organizational, reading, notetaking, test taking and study skills.  Students can work with an academic coach to develop an academic action plan, better understand how to break down large assignments, and discuss overcoming procrastination.  Coaching services are open to all students. (Location in Clark Hall Rooms 106/113 – Schedule appointments on the </w:t>
      </w:r>
      <w:hyperlink r:id="rId27" w:history="1">
        <w:r w:rsidR="00F82DB6" w:rsidRPr="00F82DB6">
          <w:rPr>
            <w:rStyle w:val="Hyperlink"/>
            <w:bCs/>
          </w:rPr>
          <w:t>Academic Coaching You Can Book Me</w:t>
        </w:r>
      </w:hyperlink>
      <w:r w:rsidR="00F82DB6" w:rsidRPr="00F82DB6">
        <w:rPr>
          <w:bCs/>
        </w:rPr>
        <w:t xml:space="preserve"> – </w:t>
      </w:r>
      <w:hyperlink r:id="rId28" w:history="1">
        <w:r w:rsidR="00F82DB6" w:rsidRPr="00F82DB6">
          <w:rPr>
            <w:rStyle w:val="Hyperlink"/>
            <w:bCs/>
          </w:rPr>
          <w:t>academiccoaching@american.edu</w:t>
        </w:r>
      </w:hyperlink>
      <w:r w:rsidR="00F82DB6" w:rsidRPr="00F82DB6">
        <w:rPr>
          <w:bCs/>
        </w:rPr>
        <w:t>)</w:t>
      </w:r>
    </w:p>
    <w:p w14:paraId="3EE0EA55" w14:textId="759A52E8" w:rsidR="009A49F1" w:rsidRPr="00654D6B" w:rsidRDefault="009A49F1" w:rsidP="009A49F1"/>
    <w:p w14:paraId="0DAFE499" w14:textId="06D68B8A" w:rsidR="00F82DB6" w:rsidRDefault="00F82DB6" w:rsidP="00E922BC">
      <w:pPr>
        <w:rPr>
          <w:rStyle w:val="Heading3Char"/>
        </w:rPr>
      </w:pPr>
      <w:r>
        <w:rPr>
          <w:rStyle w:val="Heading3Char"/>
        </w:rPr>
        <w:t>ASAC Tutoring Lab</w:t>
      </w:r>
    </w:p>
    <w:p w14:paraId="6FB3DF2F" w14:textId="6AC85AA0" w:rsidR="00F82DB6" w:rsidRPr="006E5C28" w:rsidRDefault="006E5C28" w:rsidP="00E922BC">
      <w:pPr>
        <w:rPr>
          <w:rStyle w:val="Heading3Char"/>
          <w:rFonts w:ascii="Times New Roman" w:hAnsi="Times New Roman" w:cs="Times New Roman"/>
          <w:i w:val="0"/>
          <w:iCs/>
        </w:rPr>
      </w:pPr>
      <w:r w:rsidRPr="006E5C28">
        <w:rPr>
          <w:rStyle w:val="Heading3Char"/>
          <w:rFonts w:ascii="Times New Roman" w:hAnsi="Times New Roman" w:cs="Times New Roman"/>
          <w:i w:val="0"/>
          <w:iCs/>
        </w:rPr>
        <w:t xml:space="preserve">The </w:t>
      </w:r>
      <w:hyperlink r:id="rId29" w:history="1">
        <w:r w:rsidRPr="006E5C28">
          <w:rPr>
            <w:rStyle w:val="Hyperlink"/>
            <w:rFonts w:eastAsiaTheme="majorEastAsia"/>
            <w:iCs/>
          </w:rPr>
          <w:t>ASAC Tutoring Lab</w:t>
        </w:r>
      </w:hyperlink>
      <w:r w:rsidRPr="006E5C28">
        <w:rPr>
          <w:rStyle w:val="Heading3Char"/>
          <w:rFonts w:ascii="Times New Roman" w:hAnsi="Times New Roman" w:cs="Times New Roman"/>
          <w:i w:val="0"/>
          <w:iCs/>
        </w:rPr>
        <w:t xml:space="preserve"> provides free one-on-one and drop-in tutoring for selected courses in disciplines such as accounting, biology, chemistry and economics. In your 30 minutes or hour appointment, a peer tutor can assist with understanding course content, providing hands-on practice, and discussing best strategies for studying.  (</w:t>
      </w:r>
      <w:hyperlink r:id="rId30" w:history="1">
        <w:r w:rsidRPr="006E5C28">
          <w:rPr>
            <w:rStyle w:val="Hyperlink"/>
            <w:rFonts w:eastAsiaTheme="majorEastAsia"/>
            <w:iCs/>
          </w:rPr>
          <w:t>Schedule tuto</w:t>
        </w:r>
        <w:r w:rsidRPr="006E5C28">
          <w:rPr>
            <w:rStyle w:val="Hyperlink"/>
            <w:rFonts w:eastAsiaTheme="majorEastAsia"/>
            <w:iCs/>
          </w:rPr>
          <w:t>r</w:t>
        </w:r>
        <w:r w:rsidRPr="006E5C28">
          <w:rPr>
            <w:rStyle w:val="Hyperlink"/>
            <w:rFonts w:eastAsiaTheme="majorEastAsia"/>
            <w:iCs/>
          </w:rPr>
          <w:t>ing appointments on WC Online</w:t>
        </w:r>
      </w:hyperlink>
      <w:r w:rsidRPr="006E5C28">
        <w:rPr>
          <w:rStyle w:val="Heading3Char"/>
          <w:rFonts w:ascii="Times New Roman" w:hAnsi="Times New Roman" w:cs="Times New Roman"/>
          <w:i w:val="0"/>
          <w:iCs/>
        </w:rPr>
        <w:t xml:space="preserve"> – tutoring@american.edu)</w:t>
      </w:r>
    </w:p>
    <w:p w14:paraId="33722D01" w14:textId="77777777" w:rsidR="00F82DB6" w:rsidRDefault="00F82DB6" w:rsidP="00E922BC">
      <w:pPr>
        <w:rPr>
          <w:rStyle w:val="Heading3Char"/>
        </w:rPr>
      </w:pPr>
    </w:p>
    <w:p w14:paraId="6B96B87A" w14:textId="44F48038" w:rsidR="00E922BC" w:rsidRPr="008C2302" w:rsidRDefault="00E922BC" w:rsidP="00E922BC">
      <w:pPr>
        <w:rPr>
          <w:rFonts w:ascii="Avenir Next Medium" w:eastAsiaTheme="majorEastAsia" w:hAnsi="Avenir Next Medium" w:cstheme="majorBidi"/>
          <w:i/>
        </w:rPr>
      </w:pPr>
      <w:r w:rsidRPr="007E36A1">
        <w:rPr>
          <w:rStyle w:val="Heading3Char"/>
        </w:rPr>
        <w:t>International Student &amp; Scholar Services</w:t>
      </w:r>
      <w:r w:rsidR="008C2302">
        <w:rPr>
          <w:rStyle w:val="Heading3Char"/>
        </w:rPr>
        <w:t xml:space="preserve"> </w:t>
      </w:r>
      <w:r w:rsidRPr="00654D6B">
        <w:br/>
      </w:r>
      <w:hyperlink r:id="rId31" w:history="1">
        <w:r w:rsidRPr="00654D6B">
          <w:rPr>
            <w:rStyle w:val="Hyperlink"/>
          </w:rPr>
          <w:t>International Student &amp; Scholar Services</w:t>
        </w:r>
      </w:hyperlink>
      <w:r w:rsidRPr="00654D6B">
        <w:t xml:space="preserve"> has resources to support academic success and participation in campus life including academic counseling, support for second language </w:t>
      </w:r>
      <w:r w:rsidRPr="00654D6B">
        <w:lastRenderedPageBreak/>
        <w:t>learners, response to questions about visas, immigration status and employment and intercultural programs, clubs and other campus resources. (202-885-3350, Butler Pavilion 410).</w:t>
      </w:r>
    </w:p>
    <w:p w14:paraId="04DF9C81" w14:textId="3696CCF9" w:rsidR="00E922BC" w:rsidRDefault="00E922BC" w:rsidP="009A49F1"/>
    <w:p w14:paraId="0B73EA04" w14:textId="77777777" w:rsidR="008C2302" w:rsidRPr="008C2302" w:rsidRDefault="008C2302" w:rsidP="008C2302">
      <w:pPr>
        <w:rPr>
          <w:rFonts w:ascii="Avenir Next Medium" w:eastAsiaTheme="majorEastAsia" w:hAnsi="Avenir Next Medium" w:cstheme="majorBidi"/>
          <w:i/>
        </w:rPr>
      </w:pPr>
      <w:r w:rsidRPr="008C2302">
        <w:rPr>
          <w:rFonts w:ascii="Avenir Next Medium" w:eastAsiaTheme="majorEastAsia" w:hAnsi="Avenir Next Medium" w:cstheme="majorBidi"/>
          <w:i/>
        </w:rPr>
        <w:t xml:space="preserve">Mathematics &amp; Statistics Tutoring Lab </w:t>
      </w:r>
    </w:p>
    <w:p w14:paraId="407EF2F8" w14:textId="0EA68913" w:rsidR="008C2302" w:rsidRDefault="008C2302" w:rsidP="009A49F1">
      <w:r w:rsidRPr="008C2302">
        <w:t xml:space="preserve">The </w:t>
      </w:r>
      <w:hyperlink r:id="rId32" w:history="1">
        <w:r w:rsidRPr="008C2302">
          <w:rPr>
            <w:rStyle w:val="Hyperlink"/>
          </w:rPr>
          <w:t xml:space="preserve">Mathematics &amp; Statistics Tutoring Lab </w:t>
        </w:r>
      </w:hyperlink>
      <w:r w:rsidRPr="008C2302">
        <w:t xml:space="preserve">provides free drop-in tutoring and scheduled one-on-one tutoring appointments to American University students for exam review, homework assignments, and understanding concepts. The Lab tutors Mathematics concepts up to Calculus II and Statistics concepts up to Intermediate Statistics. (Drop-in to Don Myers Building Room 103 or </w:t>
      </w:r>
      <w:hyperlink r:id="rId33" w:history="1">
        <w:r w:rsidRPr="008C2302">
          <w:rPr>
            <w:rStyle w:val="Hyperlink"/>
          </w:rPr>
          <w:t>Schedule tutoring appointments on WC Online</w:t>
        </w:r>
      </w:hyperlink>
      <w:r w:rsidRPr="008C2302">
        <w:t>)</w:t>
      </w:r>
    </w:p>
    <w:p w14:paraId="408EB634" w14:textId="7C514840" w:rsidR="008C2302" w:rsidRDefault="008C2302" w:rsidP="009A49F1"/>
    <w:p w14:paraId="554DBEDA" w14:textId="6D371940" w:rsidR="008C2302" w:rsidRDefault="008C2302" w:rsidP="009A49F1">
      <w:pPr>
        <w:rPr>
          <w:rStyle w:val="Heading3Char"/>
        </w:rPr>
      </w:pPr>
      <w:r>
        <w:rPr>
          <w:rStyle w:val="Heading3Char"/>
        </w:rPr>
        <w:t>Supplemental Instruction</w:t>
      </w:r>
    </w:p>
    <w:p w14:paraId="75D096B8" w14:textId="0981FD9B" w:rsidR="008C2302" w:rsidRPr="008C2302" w:rsidRDefault="008C2302" w:rsidP="009A49F1">
      <w:pPr>
        <w:rPr>
          <w:iCs/>
        </w:rPr>
      </w:pPr>
      <w:hyperlink r:id="rId34" w:history="1">
        <w:r w:rsidRPr="008C2302">
          <w:rPr>
            <w:rStyle w:val="Hyperlink"/>
            <w:iCs/>
          </w:rPr>
          <w:t>Supplemental Instruction</w:t>
        </w:r>
      </w:hyperlink>
      <w:r w:rsidRPr="008C2302">
        <w:rPr>
          <w:iCs/>
        </w:rPr>
        <w:t xml:space="preserve"> (SI) is a free group tutoring program that supports historically challenging courses in disciplines such as accounting, biology, chemistry and economics. SI Leaders facilitate weekly group review sessions that reiterate course content. In your one or two hour session, an SI Leader can assist with learning course concepts, facilitating group learning, and sharing best strategies for studying and note taking. (</w:t>
      </w:r>
      <w:hyperlink r:id="rId35" w:history="1">
        <w:r w:rsidRPr="008C2302">
          <w:rPr>
            <w:rStyle w:val="Hyperlink"/>
            <w:iCs/>
          </w:rPr>
          <w:t>siprogram@american.edu</w:t>
        </w:r>
      </w:hyperlink>
      <w:r w:rsidRPr="008C2302">
        <w:rPr>
          <w:iCs/>
        </w:rPr>
        <w:t>)</w:t>
      </w:r>
    </w:p>
    <w:p w14:paraId="5F9413B2" w14:textId="77777777" w:rsidR="008C2302" w:rsidRPr="00654D6B" w:rsidRDefault="008C2302" w:rsidP="009A49F1"/>
    <w:p w14:paraId="2CB7ABDC" w14:textId="07E212F3" w:rsidR="009D147E" w:rsidRPr="00654D6B" w:rsidRDefault="009D147E" w:rsidP="009A49F1">
      <w:r w:rsidRPr="007E36A1">
        <w:rPr>
          <w:rStyle w:val="Heading3Char"/>
        </w:rPr>
        <w:t>Writing Center</w:t>
      </w:r>
      <w:r w:rsidR="008C2302">
        <w:rPr>
          <w:rStyle w:val="Heading3Char"/>
        </w:rPr>
        <w:t xml:space="preserve"> </w:t>
      </w:r>
      <w:r w:rsidRPr="00654D6B">
        <w:br/>
        <w:t>The </w:t>
      </w:r>
      <w:hyperlink r:id="rId36" w:history="1">
        <w:r w:rsidRPr="00654D6B">
          <w:rPr>
            <w:rStyle w:val="Hyperlink"/>
          </w:rPr>
          <w:t>Writing Center</w:t>
        </w:r>
      </w:hyperlink>
      <w:r w:rsidRPr="00654D6B">
        <w:t xml:space="preserve"> offers free, individual coaching sessions to all AU students. In your 45-minute session, a student writing consultant can help you address your assignments, understand the conventions of academic writing, and learn how to revise and edit your own work. </w:t>
      </w:r>
      <w:r w:rsidR="008C2302" w:rsidRPr="008C2302">
        <w:t xml:space="preserve">(Bender Library – 1st Floor Commons – </w:t>
      </w:r>
      <w:hyperlink r:id="rId37" w:history="1">
        <w:r w:rsidR="008C2302" w:rsidRPr="008C2302">
          <w:rPr>
            <w:rStyle w:val="Hyperlink"/>
          </w:rPr>
          <w:t>Schedule tutoring appointments on WC Online</w:t>
        </w:r>
      </w:hyperlink>
      <w:r w:rsidR="008C2302" w:rsidRPr="008C2302">
        <w:t xml:space="preserve"> – 202-885-2991)</w:t>
      </w:r>
    </w:p>
    <w:p w14:paraId="27BF4B5F" w14:textId="70BB5460" w:rsidR="00514BE8" w:rsidRPr="00654D6B" w:rsidRDefault="00514BE8" w:rsidP="00514BE8"/>
    <w:p w14:paraId="00A736A2" w14:textId="06FDFCE6" w:rsidR="003E3486" w:rsidRPr="00654D6B" w:rsidRDefault="00CC5479" w:rsidP="007E36A1">
      <w:pPr>
        <w:pStyle w:val="Heading2"/>
      </w:pPr>
      <w:r w:rsidRPr="00654D6B">
        <w:t>Student Support Services</w:t>
      </w:r>
    </w:p>
    <w:p w14:paraId="3216DF5B" w14:textId="77777777" w:rsidR="003E3486" w:rsidRPr="00654D6B" w:rsidRDefault="003E3486" w:rsidP="00514BE8">
      <w:pPr>
        <w:rPr>
          <w:b/>
        </w:rPr>
      </w:pPr>
    </w:p>
    <w:p w14:paraId="2DD71B72" w14:textId="77777777" w:rsidR="00924046" w:rsidRPr="007E36A1" w:rsidRDefault="003E3486" w:rsidP="007E36A1">
      <w:pPr>
        <w:pStyle w:val="Heading3"/>
      </w:pPr>
      <w:r w:rsidRPr="007E36A1">
        <w:t>Center for Diversity &amp; Inclusion (CDI)</w:t>
      </w:r>
    </w:p>
    <w:p w14:paraId="0538A281" w14:textId="264E887E" w:rsidR="003E3486" w:rsidRPr="00654D6B" w:rsidRDefault="0007148B" w:rsidP="00CC5479">
      <w:hyperlink r:id="rId38" w:history="1">
        <w:r w:rsidR="00CC5479" w:rsidRPr="00654D6B">
          <w:rPr>
            <w:rStyle w:val="Hyperlink"/>
          </w:rPr>
          <w:t>CDI</w:t>
        </w:r>
      </w:hyperlink>
      <w:r w:rsidR="00CC5479" w:rsidRPr="00654D6B">
        <w:t xml:space="preserve"> is dedicated to enhancing LGBTQ, multicultural, first-generation, and women's experiences on campus and to advancing AU's commitment to respecting and valuing diversity by serving as a resource and liaison to students, staff, and faculty on issues of equity through education, outreach, and advocacy. It is located on the 2nd floor of Mary Graydon Center (202-885-3651, MGC 201 &amp; 202).</w:t>
      </w:r>
    </w:p>
    <w:p w14:paraId="2314E811" w14:textId="741787F3" w:rsidR="00CC5479" w:rsidRPr="00654D6B" w:rsidRDefault="00CC5479" w:rsidP="00CC5479"/>
    <w:p w14:paraId="0DC1E7FD" w14:textId="0E07B379" w:rsidR="004F3125" w:rsidRPr="00654D6B" w:rsidRDefault="00CC5479" w:rsidP="004F3125">
      <w:r w:rsidRPr="007E36A1">
        <w:rPr>
          <w:rStyle w:val="Heading3Char"/>
        </w:rPr>
        <w:t>Counseling Center</w:t>
      </w:r>
      <w:r w:rsidR="004F3125" w:rsidRPr="00654D6B">
        <w:br/>
      </w:r>
      <w:r w:rsidR="008C2302" w:rsidRPr="008C2302">
        <w:t xml:space="preserve">The Counseling Center offers a variety of psychological services, online resources, and referrals to off-campus mental health care. Please visit the Center’s website for more information: </w:t>
      </w:r>
      <w:hyperlink r:id="rId39" w:history="1">
        <w:r w:rsidR="008C2302" w:rsidRPr="008C2302">
          <w:rPr>
            <w:rStyle w:val="Hyperlink"/>
          </w:rPr>
          <w:t>www.american.edu/counseling</w:t>
        </w:r>
      </w:hyperlink>
      <w:r w:rsidR="008C2302" w:rsidRPr="008C2302">
        <w:t>.</w:t>
      </w:r>
    </w:p>
    <w:p w14:paraId="387DFE18" w14:textId="6576A5CF" w:rsidR="00CC5479" w:rsidRPr="00654D6B" w:rsidRDefault="00CC5479" w:rsidP="00CC5479"/>
    <w:p w14:paraId="180080DC" w14:textId="3E21FAA9" w:rsidR="008C2302" w:rsidRDefault="004F3125" w:rsidP="008C2302">
      <w:r w:rsidRPr="007E36A1">
        <w:rPr>
          <w:rStyle w:val="Heading3Char"/>
        </w:rPr>
        <w:t>Dean of Students Office</w:t>
      </w:r>
      <w:r w:rsidRPr="00654D6B">
        <w:br/>
      </w:r>
      <w:r w:rsidR="008C2302" w:rsidRPr="008C2302">
        <w:t>The Office of the Dean of Students offers individual meetings to discuss issues that impact the student experience including academic, social, and personal matters.  Staff work with students and make referrals to appropriate campus resources for resolution.</w:t>
      </w:r>
    </w:p>
    <w:p w14:paraId="389A0587" w14:textId="77777777" w:rsidR="008C2302" w:rsidRPr="008C2302" w:rsidRDefault="008C2302" w:rsidP="008C2302"/>
    <w:p w14:paraId="6FE72A34" w14:textId="07D2E79C" w:rsidR="004F3125" w:rsidRPr="00654D6B" w:rsidRDefault="008C2302" w:rsidP="004F3125">
      <w:r w:rsidRPr="008C2302">
        <w:t xml:space="preserve">Additionally, while academic regulations state that medical absences are to be excused, if faculty require correspondence to verify the student’s explanation, medical documentation should be submitted to the Office of the Dean of Students (“DOS”).  The DOS staff will review the documentation and verify the medical excuse.  Faculty have the discretion to approve absences </w:t>
      </w:r>
      <w:r w:rsidRPr="008C2302">
        <w:lastRenderedPageBreak/>
        <w:t xml:space="preserve">and do not need permission from the Office of the Dean of Students to excuse absences.  Students should be referred to the Office of the Dean of Students only if faculty require further proof or if they have concerns about the impact of absences on the student’s ability to succeed (202-885-3300; Butler Pavilion 408; </w:t>
      </w:r>
      <w:hyperlink r:id="rId40" w:history="1">
        <w:r w:rsidRPr="008C2302">
          <w:rPr>
            <w:rStyle w:val="Hyperlink"/>
          </w:rPr>
          <w:t>www.american.edu/dos</w:t>
        </w:r>
      </w:hyperlink>
      <w:r w:rsidRPr="008C2302">
        <w:t>)</w:t>
      </w:r>
    </w:p>
    <w:p w14:paraId="2FB9EEEA" w14:textId="7C08D304" w:rsidR="004F3125" w:rsidRPr="00654D6B" w:rsidRDefault="004F3125" w:rsidP="00CC5479"/>
    <w:p w14:paraId="27952D13" w14:textId="63A68697" w:rsidR="009F39F5" w:rsidRPr="00654D6B" w:rsidRDefault="009F39F5" w:rsidP="00654D6B">
      <w:pPr>
        <w:rPr>
          <w:b/>
        </w:rPr>
      </w:pPr>
      <w:r w:rsidRPr="007E36A1">
        <w:rPr>
          <w:rStyle w:val="Heading3Char"/>
        </w:rPr>
        <w:t>Food and Housing Insecurity Statement</w:t>
      </w:r>
      <w:r w:rsidRPr="00654D6B">
        <w:br/>
      </w:r>
      <w:r w:rsidR="008C2302" w:rsidRPr="008C2302">
        <w:rPr>
          <w:bCs/>
        </w:rPr>
        <w:t>Students facing challenges securing food or housing should be referred to the Office of the Dean of Students (</w:t>
      </w:r>
      <w:hyperlink r:id="rId41" w:history="1">
        <w:r w:rsidR="008C2302" w:rsidRPr="008C2302">
          <w:rPr>
            <w:rStyle w:val="Hyperlink"/>
            <w:bCs/>
          </w:rPr>
          <w:t>www.american.edu/dos</w:t>
        </w:r>
      </w:hyperlink>
      <w:r w:rsidR="008C2302" w:rsidRPr="008C2302">
        <w:rPr>
          <w:bCs/>
        </w:rPr>
        <w:t xml:space="preserve"> or 202-885-3300) for support and referral to resources.</w:t>
      </w:r>
    </w:p>
    <w:p w14:paraId="0AB70188" w14:textId="77777777" w:rsidR="00654D6B" w:rsidRDefault="00654D6B" w:rsidP="00CC5479">
      <w:pPr>
        <w:rPr>
          <w:b/>
        </w:rPr>
      </w:pPr>
    </w:p>
    <w:p w14:paraId="212BBAD9" w14:textId="37DAA899" w:rsidR="009F39F5" w:rsidRPr="00654D6B" w:rsidRDefault="009F39F5" w:rsidP="009F39F5">
      <w:pPr>
        <w:rPr>
          <w:b/>
        </w:rPr>
      </w:pPr>
      <w:r w:rsidRPr="007E36A1">
        <w:rPr>
          <w:rStyle w:val="Heading3Char"/>
        </w:rPr>
        <w:t>Office of Advocacy Services for Interpersonal and Sexual Violence</w:t>
      </w:r>
      <w:r w:rsidRPr="007972A1">
        <w:rPr>
          <w:rStyle w:val="Heading2Char"/>
        </w:rPr>
        <w:br/>
      </w:r>
      <w:hyperlink r:id="rId42" w:history="1">
        <w:r w:rsidR="00BB532C" w:rsidRPr="00BB532C">
          <w:rPr>
            <w:rStyle w:val="Hyperlink"/>
            <w:bCs/>
          </w:rPr>
          <w:t>OASIS</w:t>
        </w:r>
      </w:hyperlink>
      <w:r w:rsidR="00BB532C" w:rsidRPr="00BB532C">
        <w:rPr>
          <w:bCs/>
        </w:rPr>
        <w:t>, which is housed within the Health Promotion &amp; Advocacy Center (HPAC), provides free and confidential advocacy services for students who have experienced sexual assault, dating or domestic violence, sexual harassment, and/or stalking. These services are available ​during office hours, Monday through Friday to all students and to friends and family members of survivors. To schedule an appointment with one of the two confidential victim advocates, book via </w:t>
      </w:r>
      <w:hyperlink r:id="rId43" w:history="1">
        <w:r w:rsidR="00BB532C" w:rsidRPr="00BB532C">
          <w:rPr>
            <w:rStyle w:val="Hyperlink"/>
            <w:bCs/>
          </w:rPr>
          <w:t>http://auhpac.youcanbook.me</w:t>
        </w:r>
      </w:hyperlink>
      <w:r w:rsidR="00BB532C" w:rsidRPr="00BB532C">
        <w:rPr>
          <w:bCs/>
        </w:rPr>
        <w:t>. The advocates are also available via email (</w:t>
      </w:r>
      <w:hyperlink r:id="rId44" w:history="1">
        <w:r w:rsidR="00BB532C" w:rsidRPr="00BB532C">
          <w:rPr>
            <w:rStyle w:val="Hyperlink"/>
            <w:bCs/>
          </w:rPr>
          <w:t>oasis@american.edu</w:t>
        </w:r>
      </w:hyperlink>
      <w:r w:rsidR="00BB532C" w:rsidRPr="00BB532C">
        <w:rPr>
          <w:bCs/>
        </w:rPr>
        <w:t>) or by phone (202-885-7070). HPAC/OASIS is located in Hughes Hall, Suite 105.</w:t>
      </w:r>
    </w:p>
    <w:p w14:paraId="7C744A94" w14:textId="009D4B52" w:rsidR="009F39F5" w:rsidRPr="00654D6B" w:rsidRDefault="009F39F5" w:rsidP="00CC5479"/>
    <w:p w14:paraId="5660CB21" w14:textId="38A52B55" w:rsidR="00AF0884" w:rsidRDefault="0042764C" w:rsidP="00AF0884">
      <w:r w:rsidRPr="007E36A1">
        <w:rPr>
          <w:rStyle w:val="Heading3Char"/>
        </w:rPr>
        <w:t>Respect for Diversity</w:t>
      </w:r>
      <w:r w:rsidR="00AF0884" w:rsidRPr="00654D6B">
        <w:br/>
        <w:t xml:space="preserve">As stated in </w:t>
      </w:r>
      <w:hyperlink r:id="rId45" w:history="1">
        <w:r w:rsidR="00AF0884" w:rsidRPr="009801FB">
          <w:rPr>
            <w:rStyle w:val="Hyperlink"/>
          </w:rPr>
          <w:t>the American University Discrimination</w:t>
        </w:r>
        <w:r w:rsidR="00AF0884" w:rsidRPr="009801FB">
          <w:rPr>
            <w:rStyle w:val="Hyperlink"/>
          </w:rPr>
          <w:t xml:space="preserve"> </w:t>
        </w:r>
        <w:r w:rsidR="00AF0884" w:rsidRPr="009801FB">
          <w:rPr>
            <w:rStyle w:val="Hyperlink"/>
          </w:rPr>
          <w:t xml:space="preserve">and </w:t>
        </w:r>
        <w:r w:rsidR="009801FB" w:rsidRPr="009801FB">
          <w:rPr>
            <w:rStyle w:val="Hyperlink"/>
          </w:rPr>
          <w:t>Non-Title IX Sexual Misconduct Policy</w:t>
        </w:r>
      </w:hyperlink>
      <w:r w:rsidR="00AF0884" w:rsidRPr="00654D6B">
        <w:t>:</w:t>
      </w:r>
    </w:p>
    <w:p w14:paraId="29546E86" w14:textId="77777777" w:rsidR="00C31299" w:rsidRPr="00654D6B" w:rsidRDefault="00C31299" w:rsidP="00AF0884"/>
    <w:p w14:paraId="767659B7" w14:textId="0D96344B" w:rsidR="00AF0884" w:rsidRPr="00654D6B" w:rsidRDefault="00AF0884" w:rsidP="00654D6B">
      <w:pPr>
        <w:ind w:left="720"/>
      </w:pPr>
      <w:r w:rsidRPr="00654D6B">
        <w:t>"American University is an equal opportunity, affirmative action institution that operates in compliance with applicable laws and regulations. The University does not discriminate on the basis of race, color, national origin, religion, sex, pregnancy or parenting, age, sexual orientation, disability, marital status, personal appearance, gender identity and expression, family responsibilities, political affiliation, source of income, veteran status, an individual’s genetic information or any other bases under applicable federal and local laws and regulations (collectively “Protected Bases”) in its programs and activities. The University expressly prohibits any form of discriminatory harassment including sexual harassment, dating and domestic violence, rape, sexual assault, sexual exploitation and stalking."</w:t>
      </w:r>
    </w:p>
    <w:p w14:paraId="5C7EF552" w14:textId="77777777" w:rsidR="00AF0884" w:rsidRPr="00654D6B" w:rsidRDefault="00AF0884" w:rsidP="00654D6B">
      <w:pPr>
        <w:ind w:left="720"/>
      </w:pPr>
    </w:p>
    <w:p w14:paraId="355CA7E9" w14:textId="5A5D9F6E" w:rsidR="00AF0884" w:rsidRPr="00654D6B" w:rsidRDefault="00AF0884" w:rsidP="00AF0884">
      <w:r w:rsidRPr="00654D6B">
        <w:t>The above website includes further details, including how to report instances of discrimination and your responsibilities as a member of the campus community in relation to the policy; you are strongly encouraged to familiarize yourself further with this policy.</w:t>
      </w:r>
    </w:p>
    <w:p w14:paraId="54BA351F" w14:textId="77777777" w:rsidR="00AF0884" w:rsidRPr="00654D6B" w:rsidRDefault="00AF0884" w:rsidP="00AF0884"/>
    <w:p w14:paraId="3EA254CF" w14:textId="739DDAA7" w:rsidR="00AF0884" w:rsidRPr="00654D6B" w:rsidRDefault="00AF0884" w:rsidP="00AF0884">
      <w:r w:rsidRPr="00654D6B">
        <w:t xml:space="preserve">Class rosters and University data systems are provided to faculty with the student's legal name and legal gender marker. As a student, you are able to change how your preferred/proper name shows up through email, Blackboard, and on your AU ID Card. This option is helpful for various student populations, including but not limited to: students who abbreviate their first name; students who use their middle name; international students; and transgender students. As a faculty member, I am committed to using your proper name and pronouns. We will take time during our first class together to do introductions, at which point you can share with all members of our learning community what name and pronouns you use, as you are comfortable. </w:t>
      </w:r>
      <w:r w:rsidRPr="00654D6B">
        <w:lastRenderedPageBreak/>
        <w:t xml:space="preserve">Additionally, if these change at any point during the semester, please let me know and we can develop a plan to share this information with others in a way that is safe for you. Should you want to update your preferred/proper name, you can do so by looking at the </w:t>
      </w:r>
      <w:hyperlink r:id="rId46" w:history="1">
        <w:r w:rsidRPr="00654D6B">
          <w:rPr>
            <w:rStyle w:val="Hyperlink"/>
          </w:rPr>
          <w:t>guidelines and frequently asked questions </w:t>
        </w:r>
      </w:hyperlink>
      <w:r w:rsidRPr="00654D6B">
        <w:t>from the Center for Diversity and Inclusion.</w:t>
      </w:r>
    </w:p>
    <w:p w14:paraId="4A4A911E" w14:textId="4B80CE28" w:rsidR="0042764C" w:rsidRPr="00654D6B" w:rsidRDefault="0042764C" w:rsidP="00CC5479"/>
    <w:p w14:paraId="0665932D" w14:textId="46E66D19" w:rsidR="004C4368" w:rsidRPr="00654D6B" w:rsidRDefault="003D0D29" w:rsidP="00CC5479">
      <w:r w:rsidRPr="007E36A1">
        <w:rPr>
          <w:rStyle w:val="Heading3Char"/>
        </w:rPr>
        <w:t>Students with Disabilities</w:t>
      </w:r>
      <w:r w:rsidR="004C4368" w:rsidRPr="00654D6B">
        <w:br/>
      </w:r>
      <w:r w:rsidR="00BA7861" w:rsidRPr="00BA7861">
        <w:t xml:space="preserve">If you wish to receive accommodations for a disability, please notify me with a memo from the Academic Support and Access Center. As accommodations are not retroactive, timely notification at the beginning of the semester, if possible, is strongly recommended. To register with a disability or for questions about disability accommodations, contact the Academic Support and Access Center at 202-885-3360 or </w:t>
      </w:r>
      <w:hyperlink r:id="rId47" w:history="1">
        <w:r w:rsidR="00BA7861" w:rsidRPr="00BA7861">
          <w:rPr>
            <w:rStyle w:val="Hyperlink"/>
          </w:rPr>
          <w:t xml:space="preserve">asac@american.edu. </w:t>
        </w:r>
      </w:hyperlink>
      <w:r w:rsidR="00BA7861" w:rsidRPr="00BA7861">
        <w:t xml:space="preserve">For more information, visit AU’s </w:t>
      </w:r>
      <w:hyperlink r:id="rId48" w:history="1">
        <w:r w:rsidR="00BA7861" w:rsidRPr="00BA7861">
          <w:rPr>
            <w:rStyle w:val="Hyperlink"/>
          </w:rPr>
          <w:t>Disability Accommodations web page</w:t>
        </w:r>
      </w:hyperlink>
      <w:r w:rsidR="00BA7861" w:rsidRPr="00BA7861">
        <w:t>.</w:t>
      </w:r>
    </w:p>
    <w:sectPr w:rsidR="004C4368" w:rsidRPr="00654D6B" w:rsidSect="003C435C">
      <w:headerReference w:type="default" r:id="rId49"/>
      <w:footerReference w:type="default" r:id="rId50"/>
      <w:headerReference w:type="first" r:id="rId51"/>
      <w:footerReference w:type="first" r:id="rId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C64E" w14:textId="77777777" w:rsidR="0007148B" w:rsidRDefault="0007148B" w:rsidP="003C435C">
      <w:r>
        <w:separator/>
      </w:r>
    </w:p>
  </w:endnote>
  <w:endnote w:type="continuationSeparator" w:id="0">
    <w:p w14:paraId="5BD9E69D" w14:textId="77777777" w:rsidR="0007148B" w:rsidRDefault="0007148B" w:rsidP="003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Medium">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41F9FAA" w14:paraId="471E305E" w14:textId="77777777" w:rsidTr="541F9FAA">
      <w:tc>
        <w:tcPr>
          <w:tcW w:w="3120" w:type="dxa"/>
        </w:tcPr>
        <w:p w14:paraId="77B2A8A7" w14:textId="020E8BF7" w:rsidR="541F9FAA" w:rsidRDefault="541F9FAA" w:rsidP="541F9FAA">
          <w:pPr>
            <w:pStyle w:val="Header"/>
            <w:ind w:left="-115"/>
          </w:pPr>
        </w:p>
      </w:tc>
      <w:tc>
        <w:tcPr>
          <w:tcW w:w="3120" w:type="dxa"/>
        </w:tcPr>
        <w:p w14:paraId="2E9B7FFA" w14:textId="6664DAA5" w:rsidR="541F9FAA" w:rsidRDefault="541F9FAA" w:rsidP="541F9FAA">
          <w:pPr>
            <w:pStyle w:val="Header"/>
            <w:jc w:val="center"/>
          </w:pPr>
        </w:p>
      </w:tc>
      <w:tc>
        <w:tcPr>
          <w:tcW w:w="3120" w:type="dxa"/>
        </w:tcPr>
        <w:p w14:paraId="663AB2C5" w14:textId="7B082394" w:rsidR="541F9FAA" w:rsidRDefault="541F9FAA" w:rsidP="541F9FAA">
          <w:pPr>
            <w:pStyle w:val="Header"/>
            <w:ind w:right="-115"/>
            <w:jc w:val="right"/>
          </w:pPr>
        </w:p>
      </w:tc>
    </w:tr>
  </w:tbl>
  <w:p w14:paraId="7E07D42B" w14:textId="65D0D72A" w:rsidR="541F9FAA" w:rsidRDefault="541F9FAA" w:rsidP="541F9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41F9FAA" w14:paraId="7CE3AD86" w14:textId="77777777" w:rsidTr="541F9FAA">
      <w:tc>
        <w:tcPr>
          <w:tcW w:w="3120" w:type="dxa"/>
        </w:tcPr>
        <w:p w14:paraId="01E970BC" w14:textId="461E5979" w:rsidR="541F9FAA" w:rsidRDefault="541F9FAA" w:rsidP="541F9FAA">
          <w:pPr>
            <w:pStyle w:val="Header"/>
            <w:ind w:left="-115"/>
          </w:pPr>
        </w:p>
      </w:tc>
      <w:tc>
        <w:tcPr>
          <w:tcW w:w="3120" w:type="dxa"/>
        </w:tcPr>
        <w:p w14:paraId="59F6524B" w14:textId="24CA3966" w:rsidR="541F9FAA" w:rsidRDefault="541F9FAA" w:rsidP="541F9FAA">
          <w:pPr>
            <w:pStyle w:val="Header"/>
            <w:jc w:val="center"/>
          </w:pPr>
        </w:p>
      </w:tc>
      <w:tc>
        <w:tcPr>
          <w:tcW w:w="3120" w:type="dxa"/>
        </w:tcPr>
        <w:p w14:paraId="7D3C9DF3" w14:textId="5BA6CF93" w:rsidR="541F9FAA" w:rsidRDefault="541F9FAA" w:rsidP="541F9FAA">
          <w:pPr>
            <w:pStyle w:val="Header"/>
            <w:ind w:right="-115"/>
            <w:jc w:val="right"/>
          </w:pPr>
        </w:p>
      </w:tc>
    </w:tr>
  </w:tbl>
  <w:p w14:paraId="3C4C636A" w14:textId="39F43141" w:rsidR="541F9FAA" w:rsidRDefault="541F9FAA" w:rsidP="541F9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6F24A" w14:textId="77777777" w:rsidR="0007148B" w:rsidRDefault="0007148B" w:rsidP="003C435C">
      <w:r>
        <w:separator/>
      </w:r>
    </w:p>
  </w:footnote>
  <w:footnote w:type="continuationSeparator" w:id="0">
    <w:p w14:paraId="0739C00B" w14:textId="77777777" w:rsidR="0007148B" w:rsidRDefault="0007148B" w:rsidP="003C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41F9FAA" w14:paraId="358145F5" w14:textId="77777777" w:rsidTr="541F9FAA">
      <w:tc>
        <w:tcPr>
          <w:tcW w:w="3120" w:type="dxa"/>
        </w:tcPr>
        <w:p w14:paraId="5824E8CA" w14:textId="17883358" w:rsidR="541F9FAA" w:rsidRDefault="541F9FAA" w:rsidP="541F9FAA">
          <w:pPr>
            <w:pStyle w:val="Header"/>
            <w:ind w:left="-115"/>
          </w:pPr>
        </w:p>
      </w:tc>
      <w:tc>
        <w:tcPr>
          <w:tcW w:w="3120" w:type="dxa"/>
        </w:tcPr>
        <w:p w14:paraId="1EC26BAD" w14:textId="593E03DC" w:rsidR="541F9FAA" w:rsidRDefault="541F9FAA" w:rsidP="541F9FAA">
          <w:pPr>
            <w:pStyle w:val="Header"/>
            <w:jc w:val="center"/>
          </w:pPr>
        </w:p>
      </w:tc>
      <w:tc>
        <w:tcPr>
          <w:tcW w:w="3120" w:type="dxa"/>
        </w:tcPr>
        <w:p w14:paraId="33F1BEE2" w14:textId="6C95BCBF" w:rsidR="541F9FAA" w:rsidRDefault="541F9FAA" w:rsidP="541F9FAA">
          <w:pPr>
            <w:pStyle w:val="Header"/>
            <w:ind w:right="-115"/>
            <w:jc w:val="right"/>
          </w:pPr>
        </w:p>
      </w:tc>
    </w:tr>
  </w:tbl>
  <w:p w14:paraId="1B7737A5" w14:textId="2DB1E29B" w:rsidR="541F9FAA" w:rsidRDefault="541F9FAA" w:rsidP="541F9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2B17" w14:textId="77AB8BE3" w:rsidR="003C435C" w:rsidRPr="003C435C" w:rsidRDefault="003C435C" w:rsidP="003C435C">
    <w:pPr>
      <w:jc w:val="center"/>
    </w:pPr>
    <w:r w:rsidRPr="003C435C">
      <w:fldChar w:fldCharType="begin"/>
    </w:r>
    <w:r w:rsidRPr="003C435C">
      <w:instrText xml:space="preserve"> INCLUDEPICTURE "https://www.american.edu/ucm/images/au_logo_1.png" \* MERGEFORMATINET </w:instrText>
    </w:r>
    <w:r w:rsidRPr="003C435C">
      <w:fldChar w:fldCharType="separate"/>
    </w:r>
    <w:r w:rsidRPr="003C435C">
      <w:rPr>
        <w:noProof/>
      </w:rPr>
      <w:drawing>
        <wp:inline distT="0" distB="0" distL="0" distR="0" wp14:anchorId="7DA55CC7" wp14:editId="3418DD72">
          <wp:extent cx="2159000" cy="826969"/>
          <wp:effectExtent l="0" t="0" r="0" b="0"/>
          <wp:docPr id="2" name="Picture 2" descr="American University,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 icon above American University, red rule separator, Washington, 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475" cy="832130"/>
                  </a:xfrm>
                  <a:prstGeom prst="rect">
                    <a:avLst/>
                  </a:prstGeom>
                  <a:noFill/>
                  <a:ln>
                    <a:noFill/>
                  </a:ln>
                </pic:spPr>
              </pic:pic>
            </a:graphicData>
          </a:graphic>
        </wp:inline>
      </w:drawing>
    </w:r>
    <w:r w:rsidRPr="003C435C">
      <w:fldChar w:fldCharType="end"/>
    </w:r>
  </w:p>
  <w:p w14:paraId="4F1796D1" w14:textId="77777777" w:rsidR="003C435C" w:rsidRDefault="003C4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C7E"/>
    <w:multiLevelType w:val="multilevel"/>
    <w:tmpl w:val="6712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E4B24"/>
    <w:multiLevelType w:val="multilevel"/>
    <w:tmpl w:val="B3FC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658CD"/>
    <w:multiLevelType w:val="multilevel"/>
    <w:tmpl w:val="CF08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3B"/>
    <w:rsid w:val="0001105C"/>
    <w:rsid w:val="00026296"/>
    <w:rsid w:val="00031AFE"/>
    <w:rsid w:val="00042E77"/>
    <w:rsid w:val="00050830"/>
    <w:rsid w:val="000525D2"/>
    <w:rsid w:val="00053A99"/>
    <w:rsid w:val="000617EE"/>
    <w:rsid w:val="00063F6D"/>
    <w:rsid w:val="0007148B"/>
    <w:rsid w:val="000E5FDD"/>
    <w:rsid w:val="00122C3F"/>
    <w:rsid w:val="00133AC0"/>
    <w:rsid w:val="00137149"/>
    <w:rsid w:val="0016091B"/>
    <w:rsid w:val="001A681D"/>
    <w:rsid w:val="001C04FA"/>
    <w:rsid w:val="001D15C9"/>
    <w:rsid w:val="001E5C35"/>
    <w:rsid w:val="001E7E17"/>
    <w:rsid w:val="00234008"/>
    <w:rsid w:val="00240CC4"/>
    <w:rsid w:val="00247FA7"/>
    <w:rsid w:val="00256F78"/>
    <w:rsid w:val="00260F13"/>
    <w:rsid w:val="00262A0C"/>
    <w:rsid w:val="002A7299"/>
    <w:rsid w:val="002B66C8"/>
    <w:rsid w:val="002C38F3"/>
    <w:rsid w:val="002E111F"/>
    <w:rsid w:val="002E6FC9"/>
    <w:rsid w:val="002F1AA1"/>
    <w:rsid w:val="002F214A"/>
    <w:rsid w:val="002F49B8"/>
    <w:rsid w:val="00313136"/>
    <w:rsid w:val="003211FE"/>
    <w:rsid w:val="00361026"/>
    <w:rsid w:val="003649BD"/>
    <w:rsid w:val="00392974"/>
    <w:rsid w:val="003A692E"/>
    <w:rsid w:val="003C435C"/>
    <w:rsid w:val="003C5FB7"/>
    <w:rsid w:val="003D0D29"/>
    <w:rsid w:val="003D3996"/>
    <w:rsid w:val="003E3486"/>
    <w:rsid w:val="003E757F"/>
    <w:rsid w:val="00406CA5"/>
    <w:rsid w:val="004138B0"/>
    <w:rsid w:val="0042764C"/>
    <w:rsid w:val="00432FAD"/>
    <w:rsid w:val="0045044E"/>
    <w:rsid w:val="0048027C"/>
    <w:rsid w:val="0048527D"/>
    <w:rsid w:val="00496FD3"/>
    <w:rsid w:val="004B0422"/>
    <w:rsid w:val="004B5D2C"/>
    <w:rsid w:val="004C4368"/>
    <w:rsid w:val="004D01D4"/>
    <w:rsid w:val="004D4E97"/>
    <w:rsid w:val="004E39BE"/>
    <w:rsid w:val="004E5959"/>
    <w:rsid w:val="004F14A6"/>
    <w:rsid w:val="004F3125"/>
    <w:rsid w:val="00514BE8"/>
    <w:rsid w:val="00541129"/>
    <w:rsid w:val="00560B3D"/>
    <w:rsid w:val="00572841"/>
    <w:rsid w:val="00593CB8"/>
    <w:rsid w:val="005A1DA6"/>
    <w:rsid w:val="005A3A97"/>
    <w:rsid w:val="005A6D4C"/>
    <w:rsid w:val="005C5496"/>
    <w:rsid w:val="006065B1"/>
    <w:rsid w:val="00633870"/>
    <w:rsid w:val="00633A13"/>
    <w:rsid w:val="00645082"/>
    <w:rsid w:val="006472A3"/>
    <w:rsid w:val="00654D6B"/>
    <w:rsid w:val="00680BDF"/>
    <w:rsid w:val="00692192"/>
    <w:rsid w:val="006B32AE"/>
    <w:rsid w:val="006B5F85"/>
    <w:rsid w:val="006D02E1"/>
    <w:rsid w:val="006E0ADD"/>
    <w:rsid w:val="006E4D32"/>
    <w:rsid w:val="006E5C28"/>
    <w:rsid w:val="00705E07"/>
    <w:rsid w:val="00717F96"/>
    <w:rsid w:val="0074463D"/>
    <w:rsid w:val="0076313A"/>
    <w:rsid w:val="00764E57"/>
    <w:rsid w:val="00787F6B"/>
    <w:rsid w:val="007972A1"/>
    <w:rsid w:val="007C5952"/>
    <w:rsid w:val="007D1FDF"/>
    <w:rsid w:val="007E33B4"/>
    <w:rsid w:val="007E36A1"/>
    <w:rsid w:val="0081215B"/>
    <w:rsid w:val="00823F26"/>
    <w:rsid w:val="00836257"/>
    <w:rsid w:val="00842C9B"/>
    <w:rsid w:val="00846E92"/>
    <w:rsid w:val="00847F44"/>
    <w:rsid w:val="00851552"/>
    <w:rsid w:val="0085421C"/>
    <w:rsid w:val="00885FB6"/>
    <w:rsid w:val="008C2302"/>
    <w:rsid w:val="008F2C63"/>
    <w:rsid w:val="00924046"/>
    <w:rsid w:val="00944F1E"/>
    <w:rsid w:val="009531F6"/>
    <w:rsid w:val="0095544B"/>
    <w:rsid w:val="009556C8"/>
    <w:rsid w:val="0096110B"/>
    <w:rsid w:val="009630E3"/>
    <w:rsid w:val="009641E1"/>
    <w:rsid w:val="00976BBB"/>
    <w:rsid w:val="009801FB"/>
    <w:rsid w:val="00997936"/>
    <w:rsid w:val="009A49F1"/>
    <w:rsid w:val="009D147E"/>
    <w:rsid w:val="009F39F5"/>
    <w:rsid w:val="00A10ACF"/>
    <w:rsid w:val="00A52AC5"/>
    <w:rsid w:val="00A74770"/>
    <w:rsid w:val="00AA31DE"/>
    <w:rsid w:val="00AA53B6"/>
    <w:rsid w:val="00AC5A3D"/>
    <w:rsid w:val="00AE5857"/>
    <w:rsid w:val="00AF0884"/>
    <w:rsid w:val="00B1261D"/>
    <w:rsid w:val="00B32A21"/>
    <w:rsid w:val="00B50650"/>
    <w:rsid w:val="00B70529"/>
    <w:rsid w:val="00B760A3"/>
    <w:rsid w:val="00B8085C"/>
    <w:rsid w:val="00B94BF8"/>
    <w:rsid w:val="00B96392"/>
    <w:rsid w:val="00BA7861"/>
    <w:rsid w:val="00BB22BF"/>
    <w:rsid w:val="00BB532C"/>
    <w:rsid w:val="00BB5B4B"/>
    <w:rsid w:val="00BF5F3B"/>
    <w:rsid w:val="00C15607"/>
    <w:rsid w:val="00C31299"/>
    <w:rsid w:val="00CB49FC"/>
    <w:rsid w:val="00CC5479"/>
    <w:rsid w:val="00CE4FFC"/>
    <w:rsid w:val="00D0506B"/>
    <w:rsid w:val="00D16D10"/>
    <w:rsid w:val="00D17D02"/>
    <w:rsid w:val="00DB0C1F"/>
    <w:rsid w:val="00DD0161"/>
    <w:rsid w:val="00DD4801"/>
    <w:rsid w:val="00DD7102"/>
    <w:rsid w:val="00DD782A"/>
    <w:rsid w:val="00E41AC1"/>
    <w:rsid w:val="00E46EE1"/>
    <w:rsid w:val="00E922BC"/>
    <w:rsid w:val="00EB2AF3"/>
    <w:rsid w:val="00EB59A7"/>
    <w:rsid w:val="00ED5A2E"/>
    <w:rsid w:val="00EE09CC"/>
    <w:rsid w:val="00F07029"/>
    <w:rsid w:val="00F20E60"/>
    <w:rsid w:val="00F3239F"/>
    <w:rsid w:val="00F364F9"/>
    <w:rsid w:val="00F40492"/>
    <w:rsid w:val="00F47892"/>
    <w:rsid w:val="00F62D26"/>
    <w:rsid w:val="00F7656B"/>
    <w:rsid w:val="00F7705B"/>
    <w:rsid w:val="00F77396"/>
    <w:rsid w:val="00F80B79"/>
    <w:rsid w:val="00F82DB6"/>
    <w:rsid w:val="00FA5AA4"/>
    <w:rsid w:val="541F9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C7A5"/>
  <w15:chartTrackingRefBased/>
  <w15:docId w15:val="{31D14E5E-151C-7B4F-80D6-F7881461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F3"/>
    <w:rPr>
      <w:rFonts w:ascii="Times New Roman" w:eastAsia="Times New Roman" w:hAnsi="Times New Roman" w:cs="Times New Roman"/>
    </w:rPr>
  </w:style>
  <w:style w:type="paragraph" w:styleId="Heading1">
    <w:name w:val="heading 1"/>
    <w:basedOn w:val="Normal"/>
    <w:next w:val="Normal"/>
    <w:link w:val="Heading1Char"/>
    <w:uiPriority w:val="9"/>
    <w:qFormat/>
    <w:rsid w:val="00EB2AF3"/>
    <w:pPr>
      <w:keepNext/>
      <w:keepLines/>
      <w:spacing w:before="240"/>
      <w:outlineLvl w:val="0"/>
    </w:pPr>
    <w:rPr>
      <w:rFonts w:ascii="Avenir Next" w:eastAsiaTheme="majorEastAsia" w:hAnsi="Avenir Next" w:cstheme="majorBidi"/>
      <w:b/>
      <w:color w:val="000000" w:themeColor="text1"/>
      <w:sz w:val="36"/>
      <w:szCs w:val="32"/>
    </w:rPr>
  </w:style>
  <w:style w:type="paragraph" w:styleId="Heading2">
    <w:name w:val="heading 2"/>
    <w:basedOn w:val="Normal"/>
    <w:next w:val="Normal"/>
    <w:link w:val="Heading2Char"/>
    <w:uiPriority w:val="9"/>
    <w:unhideWhenUsed/>
    <w:qFormat/>
    <w:rsid w:val="00EB2AF3"/>
    <w:pPr>
      <w:keepNext/>
      <w:keepLines/>
      <w:spacing w:before="40"/>
      <w:outlineLvl w:val="1"/>
    </w:pPr>
    <w:rPr>
      <w:rFonts w:ascii="Avenir Next" w:eastAsiaTheme="majorEastAsia" w:hAnsi="Avenir Next" w:cstheme="majorBidi"/>
      <w:b/>
      <w:color w:val="000000" w:themeColor="text1"/>
      <w:sz w:val="26"/>
      <w:szCs w:val="26"/>
    </w:rPr>
  </w:style>
  <w:style w:type="paragraph" w:styleId="Heading3">
    <w:name w:val="heading 3"/>
    <w:basedOn w:val="Normal"/>
    <w:next w:val="Normal"/>
    <w:link w:val="Heading3Char"/>
    <w:uiPriority w:val="9"/>
    <w:unhideWhenUsed/>
    <w:qFormat/>
    <w:rsid w:val="00EB2AF3"/>
    <w:pPr>
      <w:keepNext/>
      <w:keepLines/>
      <w:spacing w:before="40"/>
      <w:outlineLvl w:val="2"/>
    </w:pPr>
    <w:rPr>
      <w:rFonts w:ascii="Avenir Next Medium" w:eastAsiaTheme="majorEastAsia" w:hAnsi="Avenir Next Medium" w:cstheme="majorBidi"/>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E07"/>
    <w:rPr>
      <w:color w:val="0563C1" w:themeColor="hyperlink"/>
      <w:u w:val="single"/>
    </w:rPr>
  </w:style>
  <w:style w:type="character" w:styleId="UnresolvedMention">
    <w:name w:val="Unresolved Mention"/>
    <w:basedOn w:val="DefaultParagraphFont"/>
    <w:uiPriority w:val="99"/>
    <w:semiHidden/>
    <w:unhideWhenUsed/>
    <w:rsid w:val="00705E07"/>
    <w:rPr>
      <w:color w:val="605E5C"/>
      <w:shd w:val="clear" w:color="auto" w:fill="E1DFDD"/>
    </w:rPr>
  </w:style>
  <w:style w:type="paragraph" w:styleId="NormalWeb">
    <w:name w:val="Normal (Web)"/>
    <w:basedOn w:val="Normal"/>
    <w:uiPriority w:val="99"/>
    <w:semiHidden/>
    <w:unhideWhenUsed/>
    <w:rsid w:val="002C38F3"/>
    <w:pPr>
      <w:spacing w:before="100" w:beforeAutospacing="1" w:after="100" w:afterAutospacing="1"/>
    </w:pPr>
  </w:style>
  <w:style w:type="character" w:styleId="Emphasis">
    <w:name w:val="Emphasis"/>
    <w:basedOn w:val="DefaultParagraphFont"/>
    <w:uiPriority w:val="20"/>
    <w:qFormat/>
    <w:rsid w:val="002C38F3"/>
    <w:rPr>
      <w:i/>
      <w:iCs/>
    </w:rPr>
  </w:style>
  <w:style w:type="table" w:styleId="TableGrid">
    <w:name w:val="Table Grid"/>
    <w:basedOn w:val="TableNormal"/>
    <w:uiPriority w:val="39"/>
    <w:rsid w:val="00260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5044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5044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1">
    <w:name w:val="s1"/>
    <w:basedOn w:val="DefaultParagraphFont"/>
    <w:rsid w:val="009F39F5"/>
  </w:style>
  <w:style w:type="character" w:customStyle="1" w:styleId="s2">
    <w:name w:val="s2"/>
    <w:basedOn w:val="DefaultParagraphFont"/>
    <w:rsid w:val="009F39F5"/>
  </w:style>
  <w:style w:type="paragraph" w:styleId="Header">
    <w:name w:val="header"/>
    <w:basedOn w:val="Normal"/>
    <w:link w:val="HeaderChar"/>
    <w:uiPriority w:val="99"/>
    <w:unhideWhenUsed/>
    <w:rsid w:val="003C435C"/>
    <w:pPr>
      <w:tabs>
        <w:tab w:val="center" w:pos="4680"/>
        <w:tab w:val="right" w:pos="9360"/>
      </w:tabs>
    </w:pPr>
  </w:style>
  <w:style w:type="character" w:customStyle="1" w:styleId="HeaderChar">
    <w:name w:val="Header Char"/>
    <w:basedOn w:val="DefaultParagraphFont"/>
    <w:link w:val="Header"/>
    <w:uiPriority w:val="99"/>
    <w:rsid w:val="003C435C"/>
    <w:rPr>
      <w:rFonts w:ascii="Times New Roman" w:eastAsia="Times New Roman" w:hAnsi="Times New Roman" w:cs="Times New Roman"/>
    </w:rPr>
  </w:style>
  <w:style w:type="paragraph" w:styleId="Footer">
    <w:name w:val="footer"/>
    <w:basedOn w:val="Normal"/>
    <w:link w:val="FooterChar"/>
    <w:uiPriority w:val="99"/>
    <w:unhideWhenUsed/>
    <w:rsid w:val="003C435C"/>
    <w:pPr>
      <w:tabs>
        <w:tab w:val="center" w:pos="4680"/>
        <w:tab w:val="right" w:pos="9360"/>
      </w:tabs>
    </w:pPr>
  </w:style>
  <w:style w:type="character" w:customStyle="1" w:styleId="FooterChar">
    <w:name w:val="Footer Char"/>
    <w:basedOn w:val="DefaultParagraphFont"/>
    <w:link w:val="Footer"/>
    <w:uiPriority w:val="99"/>
    <w:rsid w:val="003C435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B2AF3"/>
    <w:rPr>
      <w:rFonts w:ascii="Avenir Next" w:eastAsiaTheme="majorEastAsia" w:hAnsi="Avenir Next" w:cstheme="majorBidi"/>
      <w:b/>
      <w:color w:val="000000" w:themeColor="text1"/>
      <w:sz w:val="36"/>
      <w:szCs w:val="32"/>
    </w:rPr>
  </w:style>
  <w:style w:type="character" w:customStyle="1" w:styleId="Heading2Char">
    <w:name w:val="Heading 2 Char"/>
    <w:basedOn w:val="DefaultParagraphFont"/>
    <w:link w:val="Heading2"/>
    <w:uiPriority w:val="9"/>
    <w:rsid w:val="00EB2AF3"/>
    <w:rPr>
      <w:rFonts w:ascii="Avenir Next" w:eastAsiaTheme="majorEastAsia" w:hAnsi="Avenir Next" w:cstheme="majorBidi"/>
      <w:b/>
      <w:color w:val="000000" w:themeColor="text1"/>
      <w:sz w:val="26"/>
      <w:szCs w:val="26"/>
    </w:rPr>
  </w:style>
  <w:style w:type="character" w:customStyle="1" w:styleId="Heading3Char">
    <w:name w:val="Heading 3 Char"/>
    <w:basedOn w:val="DefaultParagraphFont"/>
    <w:link w:val="Heading3"/>
    <w:uiPriority w:val="9"/>
    <w:rsid w:val="00EB2AF3"/>
    <w:rPr>
      <w:rFonts w:ascii="Avenir Next Medium" w:eastAsiaTheme="majorEastAsia" w:hAnsi="Avenir Next Medium" w:cstheme="majorBidi"/>
      <w:i/>
    </w:rPr>
  </w:style>
  <w:style w:type="paragraph" w:styleId="BalloonText">
    <w:name w:val="Balloon Text"/>
    <w:basedOn w:val="Normal"/>
    <w:link w:val="BalloonTextChar"/>
    <w:uiPriority w:val="99"/>
    <w:semiHidden/>
    <w:unhideWhenUsed/>
    <w:rsid w:val="007E36A1"/>
    <w:rPr>
      <w:sz w:val="18"/>
      <w:szCs w:val="18"/>
    </w:rPr>
  </w:style>
  <w:style w:type="character" w:customStyle="1" w:styleId="BalloonTextChar">
    <w:name w:val="Balloon Text Char"/>
    <w:basedOn w:val="DefaultParagraphFont"/>
    <w:link w:val="BalloonText"/>
    <w:uiPriority w:val="99"/>
    <w:semiHidden/>
    <w:rsid w:val="007E36A1"/>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031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946">
      <w:bodyDiv w:val="1"/>
      <w:marLeft w:val="0"/>
      <w:marRight w:val="0"/>
      <w:marTop w:val="0"/>
      <w:marBottom w:val="0"/>
      <w:divBdr>
        <w:top w:val="none" w:sz="0" w:space="0" w:color="auto"/>
        <w:left w:val="none" w:sz="0" w:space="0" w:color="auto"/>
        <w:bottom w:val="none" w:sz="0" w:space="0" w:color="auto"/>
        <w:right w:val="none" w:sz="0" w:space="0" w:color="auto"/>
      </w:divBdr>
    </w:div>
    <w:div w:id="41948081">
      <w:bodyDiv w:val="1"/>
      <w:marLeft w:val="0"/>
      <w:marRight w:val="0"/>
      <w:marTop w:val="0"/>
      <w:marBottom w:val="0"/>
      <w:divBdr>
        <w:top w:val="none" w:sz="0" w:space="0" w:color="auto"/>
        <w:left w:val="none" w:sz="0" w:space="0" w:color="auto"/>
        <w:bottom w:val="none" w:sz="0" w:space="0" w:color="auto"/>
        <w:right w:val="none" w:sz="0" w:space="0" w:color="auto"/>
      </w:divBdr>
    </w:div>
    <w:div w:id="85349283">
      <w:bodyDiv w:val="1"/>
      <w:marLeft w:val="0"/>
      <w:marRight w:val="0"/>
      <w:marTop w:val="0"/>
      <w:marBottom w:val="0"/>
      <w:divBdr>
        <w:top w:val="none" w:sz="0" w:space="0" w:color="auto"/>
        <w:left w:val="none" w:sz="0" w:space="0" w:color="auto"/>
        <w:bottom w:val="none" w:sz="0" w:space="0" w:color="auto"/>
        <w:right w:val="none" w:sz="0" w:space="0" w:color="auto"/>
      </w:divBdr>
    </w:div>
    <w:div w:id="89203781">
      <w:bodyDiv w:val="1"/>
      <w:marLeft w:val="0"/>
      <w:marRight w:val="0"/>
      <w:marTop w:val="0"/>
      <w:marBottom w:val="0"/>
      <w:divBdr>
        <w:top w:val="none" w:sz="0" w:space="0" w:color="auto"/>
        <w:left w:val="none" w:sz="0" w:space="0" w:color="auto"/>
        <w:bottom w:val="none" w:sz="0" w:space="0" w:color="auto"/>
        <w:right w:val="none" w:sz="0" w:space="0" w:color="auto"/>
      </w:divBdr>
    </w:div>
    <w:div w:id="190152702">
      <w:bodyDiv w:val="1"/>
      <w:marLeft w:val="0"/>
      <w:marRight w:val="0"/>
      <w:marTop w:val="0"/>
      <w:marBottom w:val="0"/>
      <w:divBdr>
        <w:top w:val="none" w:sz="0" w:space="0" w:color="auto"/>
        <w:left w:val="none" w:sz="0" w:space="0" w:color="auto"/>
        <w:bottom w:val="none" w:sz="0" w:space="0" w:color="auto"/>
        <w:right w:val="none" w:sz="0" w:space="0" w:color="auto"/>
      </w:divBdr>
    </w:div>
    <w:div w:id="209075335">
      <w:bodyDiv w:val="1"/>
      <w:marLeft w:val="0"/>
      <w:marRight w:val="0"/>
      <w:marTop w:val="0"/>
      <w:marBottom w:val="0"/>
      <w:divBdr>
        <w:top w:val="none" w:sz="0" w:space="0" w:color="auto"/>
        <w:left w:val="none" w:sz="0" w:space="0" w:color="auto"/>
        <w:bottom w:val="none" w:sz="0" w:space="0" w:color="auto"/>
        <w:right w:val="none" w:sz="0" w:space="0" w:color="auto"/>
      </w:divBdr>
    </w:div>
    <w:div w:id="213084185">
      <w:bodyDiv w:val="1"/>
      <w:marLeft w:val="0"/>
      <w:marRight w:val="0"/>
      <w:marTop w:val="0"/>
      <w:marBottom w:val="0"/>
      <w:divBdr>
        <w:top w:val="none" w:sz="0" w:space="0" w:color="auto"/>
        <w:left w:val="none" w:sz="0" w:space="0" w:color="auto"/>
        <w:bottom w:val="none" w:sz="0" w:space="0" w:color="auto"/>
        <w:right w:val="none" w:sz="0" w:space="0" w:color="auto"/>
      </w:divBdr>
    </w:div>
    <w:div w:id="253707153">
      <w:bodyDiv w:val="1"/>
      <w:marLeft w:val="0"/>
      <w:marRight w:val="0"/>
      <w:marTop w:val="0"/>
      <w:marBottom w:val="0"/>
      <w:divBdr>
        <w:top w:val="none" w:sz="0" w:space="0" w:color="auto"/>
        <w:left w:val="none" w:sz="0" w:space="0" w:color="auto"/>
        <w:bottom w:val="none" w:sz="0" w:space="0" w:color="auto"/>
        <w:right w:val="none" w:sz="0" w:space="0" w:color="auto"/>
      </w:divBdr>
    </w:div>
    <w:div w:id="434638636">
      <w:bodyDiv w:val="1"/>
      <w:marLeft w:val="0"/>
      <w:marRight w:val="0"/>
      <w:marTop w:val="0"/>
      <w:marBottom w:val="0"/>
      <w:divBdr>
        <w:top w:val="none" w:sz="0" w:space="0" w:color="auto"/>
        <w:left w:val="none" w:sz="0" w:space="0" w:color="auto"/>
        <w:bottom w:val="none" w:sz="0" w:space="0" w:color="auto"/>
        <w:right w:val="none" w:sz="0" w:space="0" w:color="auto"/>
      </w:divBdr>
    </w:div>
    <w:div w:id="457842068">
      <w:bodyDiv w:val="1"/>
      <w:marLeft w:val="0"/>
      <w:marRight w:val="0"/>
      <w:marTop w:val="0"/>
      <w:marBottom w:val="0"/>
      <w:divBdr>
        <w:top w:val="none" w:sz="0" w:space="0" w:color="auto"/>
        <w:left w:val="none" w:sz="0" w:space="0" w:color="auto"/>
        <w:bottom w:val="none" w:sz="0" w:space="0" w:color="auto"/>
        <w:right w:val="none" w:sz="0" w:space="0" w:color="auto"/>
      </w:divBdr>
    </w:div>
    <w:div w:id="480998195">
      <w:bodyDiv w:val="1"/>
      <w:marLeft w:val="0"/>
      <w:marRight w:val="0"/>
      <w:marTop w:val="0"/>
      <w:marBottom w:val="0"/>
      <w:divBdr>
        <w:top w:val="none" w:sz="0" w:space="0" w:color="auto"/>
        <w:left w:val="none" w:sz="0" w:space="0" w:color="auto"/>
        <w:bottom w:val="none" w:sz="0" w:space="0" w:color="auto"/>
        <w:right w:val="none" w:sz="0" w:space="0" w:color="auto"/>
      </w:divBdr>
    </w:div>
    <w:div w:id="507525588">
      <w:bodyDiv w:val="1"/>
      <w:marLeft w:val="0"/>
      <w:marRight w:val="0"/>
      <w:marTop w:val="0"/>
      <w:marBottom w:val="0"/>
      <w:divBdr>
        <w:top w:val="none" w:sz="0" w:space="0" w:color="auto"/>
        <w:left w:val="none" w:sz="0" w:space="0" w:color="auto"/>
        <w:bottom w:val="none" w:sz="0" w:space="0" w:color="auto"/>
        <w:right w:val="none" w:sz="0" w:space="0" w:color="auto"/>
      </w:divBdr>
    </w:div>
    <w:div w:id="561722790">
      <w:bodyDiv w:val="1"/>
      <w:marLeft w:val="0"/>
      <w:marRight w:val="0"/>
      <w:marTop w:val="0"/>
      <w:marBottom w:val="0"/>
      <w:divBdr>
        <w:top w:val="none" w:sz="0" w:space="0" w:color="auto"/>
        <w:left w:val="none" w:sz="0" w:space="0" w:color="auto"/>
        <w:bottom w:val="none" w:sz="0" w:space="0" w:color="auto"/>
        <w:right w:val="none" w:sz="0" w:space="0" w:color="auto"/>
      </w:divBdr>
    </w:div>
    <w:div w:id="583297238">
      <w:bodyDiv w:val="1"/>
      <w:marLeft w:val="0"/>
      <w:marRight w:val="0"/>
      <w:marTop w:val="0"/>
      <w:marBottom w:val="0"/>
      <w:divBdr>
        <w:top w:val="none" w:sz="0" w:space="0" w:color="auto"/>
        <w:left w:val="none" w:sz="0" w:space="0" w:color="auto"/>
        <w:bottom w:val="none" w:sz="0" w:space="0" w:color="auto"/>
        <w:right w:val="none" w:sz="0" w:space="0" w:color="auto"/>
      </w:divBdr>
    </w:div>
    <w:div w:id="591667463">
      <w:bodyDiv w:val="1"/>
      <w:marLeft w:val="0"/>
      <w:marRight w:val="0"/>
      <w:marTop w:val="0"/>
      <w:marBottom w:val="0"/>
      <w:divBdr>
        <w:top w:val="none" w:sz="0" w:space="0" w:color="auto"/>
        <w:left w:val="none" w:sz="0" w:space="0" w:color="auto"/>
        <w:bottom w:val="none" w:sz="0" w:space="0" w:color="auto"/>
        <w:right w:val="none" w:sz="0" w:space="0" w:color="auto"/>
      </w:divBdr>
    </w:div>
    <w:div w:id="593588078">
      <w:bodyDiv w:val="1"/>
      <w:marLeft w:val="0"/>
      <w:marRight w:val="0"/>
      <w:marTop w:val="0"/>
      <w:marBottom w:val="0"/>
      <w:divBdr>
        <w:top w:val="none" w:sz="0" w:space="0" w:color="auto"/>
        <w:left w:val="none" w:sz="0" w:space="0" w:color="auto"/>
        <w:bottom w:val="none" w:sz="0" w:space="0" w:color="auto"/>
        <w:right w:val="none" w:sz="0" w:space="0" w:color="auto"/>
      </w:divBdr>
    </w:div>
    <w:div w:id="613287847">
      <w:bodyDiv w:val="1"/>
      <w:marLeft w:val="0"/>
      <w:marRight w:val="0"/>
      <w:marTop w:val="0"/>
      <w:marBottom w:val="0"/>
      <w:divBdr>
        <w:top w:val="none" w:sz="0" w:space="0" w:color="auto"/>
        <w:left w:val="none" w:sz="0" w:space="0" w:color="auto"/>
        <w:bottom w:val="none" w:sz="0" w:space="0" w:color="auto"/>
        <w:right w:val="none" w:sz="0" w:space="0" w:color="auto"/>
      </w:divBdr>
    </w:div>
    <w:div w:id="626592558">
      <w:bodyDiv w:val="1"/>
      <w:marLeft w:val="0"/>
      <w:marRight w:val="0"/>
      <w:marTop w:val="0"/>
      <w:marBottom w:val="0"/>
      <w:divBdr>
        <w:top w:val="none" w:sz="0" w:space="0" w:color="auto"/>
        <w:left w:val="none" w:sz="0" w:space="0" w:color="auto"/>
        <w:bottom w:val="none" w:sz="0" w:space="0" w:color="auto"/>
        <w:right w:val="none" w:sz="0" w:space="0" w:color="auto"/>
      </w:divBdr>
    </w:div>
    <w:div w:id="661471737">
      <w:bodyDiv w:val="1"/>
      <w:marLeft w:val="0"/>
      <w:marRight w:val="0"/>
      <w:marTop w:val="0"/>
      <w:marBottom w:val="0"/>
      <w:divBdr>
        <w:top w:val="none" w:sz="0" w:space="0" w:color="auto"/>
        <w:left w:val="none" w:sz="0" w:space="0" w:color="auto"/>
        <w:bottom w:val="none" w:sz="0" w:space="0" w:color="auto"/>
        <w:right w:val="none" w:sz="0" w:space="0" w:color="auto"/>
      </w:divBdr>
    </w:div>
    <w:div w:id="700521011">
      <w:bodyDiv w:val="1"/>
      <w:marLeft w:val="0"/>
      <w:marRight w:val="0"/>
      <w:marTop w:val="0"/>
      <w:marBottom w:val="0"/>
      <w:divBdr>
        <w:top w:val="none" w:sz="0" w:space="0" w:color="auto"/>
        <w:left w:val="none" w:sz="0" w:space="0" w:color="auto"/>
        <w:bottom w:val="none" w:sz="0" w:space="0" w:color="auto"/>
        <w:right w:val="none" w:sz="0" w:space="0" w:color="auto"/>
      </w:divBdr>
    </w:div>
    <w:div w:id="724909266">
      <w:bodyDiv w:val="1"/>
      <w:marLeft w:val="0"/>
      <w:marRight w:val="0"/>
      <w:marTop w:val="0"/>
      <w:marBottom w:val="0"/>
      <w:divBdr>
        <w:top w:val="none" w:sz="0" w:space="0" w:color="auto"/>
        <w:left w:val="none" w:sz="0" w:space="0" w:color="auto"/>
        <w:bottom w:val="none" w:sz="0" w:space="0" w:color="auto"/>
        <w:right w:val="none" w:sz="0" w:space="0" w:color="auto"/>
      </w:divBdr>
    </w:div>
    <w:div w:id="740366231">
      <w:bodyDiv w:val="1"/>
      <w:marLeft w:val="0"/>
      <w:marRight w:val="0"/>
      <w:marTop w:val="0"/>
      <w:marBottom w:val="0"/>
      <w:divBdr>
        <w:top w:val="none" w:sz="0" w:space="0" w:color="auto"/>
        <w:left w:val="none" w:sz="0" w:space="0" w:color="auto"/>
        <w:bottom w:val="none" w:sz="0" w:space="0" w:color="auto"/>
        <w:right w:val="none" w:sz="0" w:space="0" w:color="auto"/>
      </w:divBdr>
    </w:div>
    <w:div w:id="754328944">
      <w:bodyDiv w:val="1"/>
      <w:marLeft w:val="0"/>
      <w:marRight w:val="0"/>
      <w:marTop w:val="0"/>
      <w:marBottom w:val="0"/>
      <w:divBdr>
        <w:top w:val="none" w:sz="0" w:space="0" w:color="auto"/>
        <w:left w:val="none" w:sz="0" w:space="0" w:color="auto"/>
        <w:bottom w:val="none" w:sz="0" w:space="0" w:color="auto"/>
        <w:right w:val="none" w:sz="0" w:space="0" w:color="auto"/>
      </w:divBdr>
    </w:div>
    <w:div w:id="835193822">
      <w:bodyDiv w:val="1"/>
      <w:marLeft w:val="0"/>
      <w:marRight w:val="0"/>
      <w:marTop w:val="0"/>
      <w:marBottom w:val="0"/>
      <w:divBdr>
        <w:top w:val="none" w:sz="0" w:space="0" w:color="auto"/>
        <w:left w:val="none" w:sz="0" w:space="0" w:color="auto"/>
        <w:bottom w:val="none" w:sz="0" w:space="0" w:color="auto"/>
        <w:right w:val="none" w:sz="0" w:space="0" w:color="auto"/>
      </w:divBdr>
    </w:div>
    <w:div w:id="883056475">
      <w:bodyDiv w:val="1"/>
      <w:marLeft w:val="0"/>
      <w:marRight w:val="0"/>
      <w:marTop w:val="0"/>
      <w:marBottom w:val="0"/>
      <w:divBdr>
        <w:top w:val="none" w:sz="0" w:space="0" w:color="auto"/>
        <w:left w:val="none" w:sz="0" w:space="0" w:color="auto"/>
        <w:bottom w:val="none" w:sz="0" w:space="0" w:color="auto"/>
        <w:right w:val="none" w:sz="0" w:space="0" w:color="auto"/>
      </w:divBdr>
    </w:div>
    <w:div w:id="961112822">
      <w:bodyDiv w:val="1"/>
      <w:marLeft w:val="0"/>
      <w:marRight w:val="0"/>
      <w:marTop w:val="0"/>
      <w:marBottom w:val="0"/>
      <w:divBdr>
        <w:top w:val="none" w:sz="0" w:space="0" w:color="auto"/>
        <w:left w:val="none" w:sz="0" w:space="0" w:color="auto"/>
        <w:bottom w:val="none" w:sz="0" w:space="0" w:color="auto"/>
        <w:right w:val="none" w:sz="0" w:space="0" w:color="auto"/>
      </w:divBdr>
    </w:div>
    <w:div w:id="1084760581">
      <w:bodyDiv w:val="1"/>
      <w:marLeft w:val="0"/>
      <w:marRight w:val="0"/>
      <w:marTop w:val="0"/>
      <w:marBottom w:val="0"/>
      <w:divBdr>
        <w:top w:val="none" w:sz="0" w:space="0" w:color="auto"/>
        <w:left w:val="none" w:sz="0" w:space="0" w:color="auto"/>
        <w:bottom w:val="none" w:sz="0" w:space="0" w:color="auto"/>
        <w:right w:val="none" w:sz="0" w:space="0" w:color="auto"/>
      </w:divBdr>
    </w:div>
    <w:div w:id="1140269089">
      <w:bodyDiv w:val="1"/>
      <w:marLeft w:val="0"/>
      <w:marRight w:val="0"/>
      <w:marTop w:val="0"/>
      <w:marBottom w:val="0"/>
      <w:divBdr>
        <w:top w:val="none" w:sz="0" w:space="0" w:color="auto"/>
        <w:left w:val="none" w:sz="0" w:space="0" w:color="auto"/>
        <w:bottom w:val="none" w:sz="0" w:space="0" w:color="auto"/>
        <w:right w:val="none" w:sz="0" w:space="0" w:color="auto"/>
      </w:divBdr>
    </w:div>
    <w:div w:id="1145782579">
      <w:bodyDiv w:val="1"/>
      <w:marLeft w:val="0"/>
      <w:marRight w:val="0"/>
      <w:marTop w:val="0"/>
      <w:marBottom w:val="0"/>
      <w:divBdr>
        <w:top w:val="none" w:sz="0" w:space="0" w:color="auto"/>
        <w:left w:val="none" w:sz="0" w:space="0" w:color="auto"/>
        <w:bottom w:val="none" w:sz="0" w:space="0" w:color="auto"/>
        <w:right w:val="none" w:sz="0" w:space="0" w:color="auto"/>
      </w:divBdr>
    </w:div>
    <w:div w:id="1159074757">
      <w:bodyDiv w:val="1"/>
      <w:marLeft w:val="0"/>
      <w:marRight w:val="0"/>
      <w:marTop w:val="0"/>
      <w:marBottom w:val="0"/>
      <w:divBdr>
        <w:top w:val="none" w:sz="0" w:space="0" w:color="auto"/>
        <w:left w:val="none" w:sz="0" w:space="0" w:color="auto"/>
        <w:bottom w:val="none" w:sz="0" w:space="0" w:color="auto"/>
        <w:right w:val="none" w:sz="0" w:space="0" w:color="auto"/>
      </w:divBdr>
    </w:div>
    <w:div w:id="1194608256">
      <w:bodyDiv w:val="1"/>
      <w:marLeft w:val="0"/>
      <w:marRight w:val="0"/>
      <w:marTop w:val="0"/>
      <w:marBottom w:val="0"/>
      <w:divBdr>
        <w:top w:val="none" w:sz="0" w:space="0" w:color="auto"/>
        <w:left w:val="none" w:sz="0" w:space="0" w:color="auto"/>
        <w:bottom w:val="none" w:sz="0" w:space="0" w:color="auto"/>
        <w:right w:val="none" w:sz="0" w:space="0" w:color="auto"/>
      </w:divBdr>
    </w:div>
    <w:div w:id="1202942398">
      <w:bodyDiv w:val="1"/>
      <w:marLeft w:val="0"/>
      <w:marRight w:val="0"/>
      <w:marTop w:val="0"/>
      <w:marBottom w:val="0"/>
      <w:divBdr>
        <w:top w:val="none" w:sz="0" w:space="0" w:color="auto"/>
        <w:left w:val="none" w:sz="0" w:space="0" w:color="auto"/>
        <w:bottom w:val="none" w:sz="0" w:space="0" w:color="auto"/>
        <w:right w:val="none" w:sz="0" w:space="0" w:color="auto"/>
      </w:divBdr>
    </w:div>
    <w:div w:id="1276518919">
      <w:bodyDiv w:val="1"/>
      <w:marLeft w:val="0"/>
      <w:marRight w:val="0"/>
      <w:marTop w:val="0"/>
      <w:marBottom w:val="0"/>
      <w:divBdr>
        <w:top w:val="none" w:sz="0" w:space="0" w:color="auto"/>
        <w:left w:val="none" w:sz="0" w:space="0" w:color="auto"/>
        <w:bottom w:val="none" w:sz="0" w:space="0" w:color="auto"/>
        <w:right w:val="none" w:sz="0" w:space="0" w:color="auto"/>
      </w:divBdr>
    </w:div>
    <w:div w:id="1313145040">
      <w:bodyDiv w:val="1"/>
      <w:marLeft w:val="0"/>
      <w:marRight w:val="0"/>
      <w:marTop w:val="0"/>
      <w:marBottom w:val="0"/>
      <w:divBdr>
        <w:top w:val="none" w:sz="0" w:space="0" w:color="auto"/>
        <w:left w:val="none" w:sz="0" w:space="0" w:color="auto"/>
        <w:bottom w:val="none" w:sz="0" w:space="0" w:color="auto"/>
        <w:right w:val="none" w:sz="0" w:space="0" w:color="auto"/>
      </w:divBdr>
    </w:div>
    <w:div w:id="1332024270">
      <w:bodyDiv w:val="1"/>
      <w:marLeft w:val="0"/>
      <w:marRight w:val="0"/>
      <w:marTop w:val="0"/>
      <w:marBottom w:val="0"/>
      <w:divBdr>
        <w:top w:val="none" w:sz="0" w:space="0" w:color="auto"/>
        <w:left w:val="none" w:sz="0" w:space="0" w:color="auto"/>
        <w:bottom w:val="none" w:sz="0" w:space="0" w:color="auto"/>
        <w:right w:val="none" w:sz="0" w:space="0" w:color="auto"/>
      </w:divBdr>
    </w:div>
    <w:div w:id="1382748225">
      <w:bodyDiv w:val="1"/>
      <w:marLeft w:val="0"/>
      <w:marRight w:val="0"/>
      <w:marTop w:val="0"/>
      <w:marBottom w:val="0"/>
      <w:divBdr>
        <w:top w:val="none" w:sz="0" w:space="0" w:color="auto"/>
        <w:left w:val="none" w:sz="0" w:space="0" w:color="auto"/>
        <w:bottom w:val="none" w:sz="0" w:space="0" w:color="auto"/>
        <w:right w:val="none" w:sz="0" w:space="0" w:color="auto"/>
      </w:divBdr>
    </w:div>
    <w:div w:id="1540782603">
      <w:bodyDiv w:val="1"/>
      <w:marLeft w:val="0"/>
      <w:marRight w:val="0"/>
      <w:marTop w:val="0"/>
      <w:marBottom w:val="0"/>
      <w:divBdr>
        <w:top w:val="none" w:sz="0" w:space="0" w:color="auto"/>
        <w:left w:val="none" w:sz="0" w:space="0" w:color="auto"/>
        <w:bottom w:val="none" w:sz="0" w:space="0" w:color="auto"/>
        <w:right w:val="none" w:sz="0" w:space="0" w:color="auto"/>
      </w:divBdr>
    </w:div>
    <w:div w:id="1607805913">
      <w:bodyDiv w:val="1"/>
      <w:marLeft w:val="0"/>
      <w:marRight w:val="0"/>
      <w:marTop w:val="0"/>
      <w:marBottom w:val="0"/>
      <w:divBdr>
        <w:top w:val="none" w:sz="0" w:space="0" w:color="auto"/>
        <w:left w:val="none" w:sz="0" w:space="0" w:color="auto"/>
        <w:bottom w:val="none" w:sz="0" w:space="0" w:color="auto"/>
        <w:right w:val="none" w:sz="0" w:space="0" w:color="auto"/>
      </w:divBdr>
    </w:div>
    <w:div w:id="1610963855">
      <w:bodyDiv w:val="1"/>
      <w:marLeft w:val="0"/>
      <w:marRight w:val="0"/>
      <w:marTop w:val="0"/>
      <w:marBottom w:val="0"/>
      <w:divBdr>
        <w:top w:val="none" w:sz="0" w:space="0" w:color="auto"/>
        <w:left w:val="none" w:sz="0" w:space="0" w:color="auto"/>
        <w:bottom w:val="none" w:sz="0" w:space="0" w:color="auto"/>
        <w:right w:val="none" w:sz="0" w:space="0" w:color="auto"/>
      </w:divBdr>
    </w:div>
    <w:div w:id="1645968757">
      <w:bodyDiv w:val="1"/>
      <w:marLeft w:val="0"/>
      <w:marRight w:val="0"/>
      <w:marTop w:val="0"/>
      <w:marBottom w:val="0"/>
      <w:divBdr>
        <w:top w:val="none" w:sz="0" w:space="0" w:color="auto"/>
        <w:left w:val="none" w:sz="0" w:space="0" w:color="auto"/>
        <w:bottom w:val="none" w:sz="0" w:space="0" w:color="auto"/>
        <w:right w:val="none" w:sz="0" w:space="0" w:color="auto"/>
      </w:divBdr>
    </w:div>
    <w:div w:id="1672297015">
      <w:bodyDiv w:val="1"/>
      <w:marLeft w:val="0"/>
      <w:marRight w:val="0"/>
      <w:marTop w:val="0"/>
      <w:marBottom w:val="0"/>
      <w:divBdr>
        <w:top w:val="none" w:sz="0" w:space="0" w:color="auto"/>
        <w:left w:val="none" w:sz="0" w:space="0" w:color="auto"/>
        <w:bottom w:val="none" w:sz="0" w:space="0" w:color="auto"/>
        <w:right w:val="none" w:sz="0" w:space="0" w:color="auto"/>
      </w:divBdr>
    </w:div>
    <w:div w:id="1678842941">
      <w:bodyDiv w:val="1"/>
      <w:marLeft w:val="0"/>
      <w:marRight w:val="0"/>
      <w:marTop w:val="0"/>
      <w:marBottom w:val="0"/>
      <w:divBdr>
        <w:top w:val="none" w:sz="0" w:space="0" w:color="auto"/>
        <w:left w:val="none" w:sz="0" w:space="0" w:color="auto"/>
        <w:bottom w:val="none" w:sz="0" w:space="0" w:color="auto"/>
        <w:right w:val="none" w:sz="0" w:space="0" w:color="auto"/>
      </w:divBdr>
    </w:div>
    <w:div w:id="1686518555">
      <w:bodyDiv w:val="1"/>
      <w:marLeft w:val="0"/>
      <w:marRight w:val="0"/>
      <w:marTop w:val="0"/>
      <w:marBottom w:val="0"/>
      <w:divBdr>
        <w:top w:val="none" w:sz="0" w:space="0" w:color="auto"/>
        <w:left w:val="none" w:sz="0" w:space="0" w:color="auto"/>
        <w:bottom w:val="none" w:sz="0" w:space="0" w:color="auto"/>
        <w:right w:val="none" w:sz="0" w:space="0" w:color="auto"/>
      </w:divBdr>
    </w:div>
    <w:div w:id="1754859403">
      <w:bodyDiv w:val="1"/>
      <w:marLeft w:val="0"/>
      <w:marRight w:val="0"/>
      <w:marTop w:val="0"/>
      <w:marBottom w:val="0"/>
      <w:divBdr>
        <w:top w:val="none" w:sz="0" w:space="0" w:color="auto"/>
        <w:left w:val="none" w:sz="0" w:space="0" w:color="auto"/>
        <w:bottom w:val="none" w:sz="0" w:space="0" w:color="auto"/>
        <w:right w:val="none" w:sz="0" w:space="0" w:color="auto"/>
      </w:divBdr>
    </w:div>
    <w:div w:id="1763798440">
      <w:bodyDiv w:val="1"/>
      <w:marLeft w:val="0"/>
      <w:marRight w:val="0"/>
      <w:marTop w:val="0"/>
      <w:marBottom w:val="0"/>
      <w:divBdr>
        <w:top w:val="none" w:sz="0" w:space="0" w:color="auto"/>
        <w:left w:val="none" w:sz="0" w:space="0" w:color="auto"/>
        <w:bottom w:val="none" w:sz="0" w:space="0" w:color="auto"/>
        <w:right w:val="none" w:sz="0" w:space="0" w:color="auto"/>
      </w:divBdr>
    </w:div>
    <w:div w:id="1824200477">
      <w:bodyDiv w:val="1"/>
      <w:marLeft w:val="0"/>
      <w:marRight w:val="0"/>
      <w:marTop w:val="0"/>
      <w:marBottom w:val="0"/>
      <w:divBdr>
        <w:top w:val="none" w:sz="0" w:space="0" w:color="auto"/>
        <w:left w:val="none" w:sz="0" w:space="0" w:color="auto"/>
        <w:bottom w:val="none" w:sz="0" w:space="0" w:color="auto"/>
        <w:right w:val="none" w:sz="0" w:space="0" w:color="auto"/>
      </w:divBdr>
    </w:div>
    <w:div w:id="1914855005">
      <w:bodyDiv w:val="1"/>
      <w:marLeft w:val="0"/>
      <w:marRight w:val="0"/>
      <w:marTop w:val="0"/>
      <w:marBottom w:val="0"/>
      <w:divBdr>
        <w:top w:val="none" w:sz="0" w:space="0" w:color="auto"/>
        <w:left w:val="none" w:sz="0" w:space="0" w:color="auto"/>
        <w:bottom w:val="none" w:sz="0" w:space="0" w:color="auto"/>
        <w:right w:val="none" w:sz="0" w:space="0" w:color="auto"/>
      </w:divBdr>
    </w:div>
    <w:div w:id="1951279478">
      <w:bodyDiv w:val="1"/>
      <w:marLeft w:val="0"/>
      <w:marRight w:val="0"/>
      <w:marTop w:val="0"/>
      <w:marBottom w:val="0"/>
      <w:divBdr>
        <w:top w:val="none" w:sz="0" w:space="0" w:color="auto"/>
        <w:left w:val="none" w:sz="0" w:space="0" w:color="auto"/>
        <w:bottom w:val="none" w:sz="0" w:space="0" w:color="auto"/>
        <w:right w:val="none" w:sz="0" w:space="0" w:color="auto"/>
      </w:divBdr>
    </w:div>
    <w:div w:id="2009745495">
      <w:bodyDiv w:val="1"/>
      <w:marLeft w:val="0"/>
      <w:marRight w:val="0"/>
      <w:marTop w:val="0"/>
      <w:marBottom w:val="0"/>
      <w:divBdr>
        <w:top w:val="none" w:sz="0" w:space="0" w:color="auto"/>
        <w:left w:val="none" w:sz="0" w:space="0" w:color="auto"/>
        <w:bottom w:val="none" w:sz="0" w:space="0" w:color="auto"/>
        <w:right w:val="none" w:sz="0" w:space="0" w:color="auto"/>
      </w:divBdr>
    </w:div>
    <w:div w:id="2034529258">
      <w:bodyDiv w:val="1"/>
      <w:marLeft w:val="0"/>
      <w:marRight w:val="0"/>
      <w:marTop w:val="0"/>
      <w:marBottom w:val="0"/>
      <w:divBdr>
        <w:top w:val="none" w:sz="0" w:space="0" w:color="auto"/>
        <w:left w:val="none" w:sz="0" w:space="0" w:color="auto"/>
        <w:bottom w:val="none" w:sz="0" w:space="0" w:color="auto"/>
        <w:right w:val="none" w:sz="0" w:space="0" w:color="auto"/>
      </w:divBdr>
    </w:div>
    <w:div w:id="2058552662">
      <w:bodyDiv w:val="1"/>
      <w:marLeft w:val="0"/>
      <w:marRight w:val="0"/>
      <w:marTop w:val="0"/>
      <w:marBottom w:val="0"/>
      <w:divBdr>
        <w:top w:val="none" w:sz="0" w:space="0" w:color="auto"/>
        <w:left w:val="none" w:sz="0" w:space="0" w:color="auto"/>
        <w:bottom w:val="none" w:sz="0" w:space="0" w:color="auto"/>
        <w:right w:val="none" w:sz="0" w:space="0" w:color="auto"/>
      </w:divBdr>
    </w:div>
    <w:div w:id="21415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edu/ocl/dos/" TargetMode="External"/><Relationship Id="rId18" Type="http://schemas.openxmlformats.org/officeDocument/2006/relationships/hyperlink" Target="mailto:oasis@american.edu" TargetMode="External"/><Relationship Id="rId26" Type="http://schemas.openxmlformats.org/officeDocument/2006/relationships/hyperlink" Target="https://www.american.edu/provost/academic-access/academic-success-coaching.cfm" TargetMode="External"/><Relationship Id="rId39" Type="http://schemas.openxmlformats.org/officeDocument/2006/relationships/hyperlink" Target="www.american.edu/counseling" TargetMode="External"/><Relationship Id="rId3" Type="http://schemas.openxmlformats.org/officeDocument/2006/relationships/customXml" Target="../customXml/item3.xml"/><Relationship Id="rId21" Type="http://schemas.openxmlformats.org/officeDocument/2006/relationships/hyperlink" Target="mailto:%20TitleIX@american.edu" TargetMode="External"/><Relationship Id="rId34" Type="http://schemas.openxmlformats.org/officeDocument/2006/relationships/hyperlink" Target="https://www.american.edu/provost/academic-access/supplemental-instruction-homepage.cfm" TargetMode="External"/><Relationship Id="rId42" Type="http://schemas.openxmlformats.org/officeDocument/2006/relationships/hyperlink" Target="https://www.american.edu/ocl/promote-health/oasis.cfm" TargetMode="External"/><Relationship Id="rId47" Type="http://schemas.openxmlformats.org/officeDocument/2006/relationships/hyperlink" Target="mailto:asac@american.edu"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merican.edu/finance/publicsafety/index.cfm" TargetMode="External"/><Relationship Id="rId17" Type="http://schemas.openxmlformats.org/officeDocument/2006/relationships/hyperlink" Target="https://www.american.edu/ocl/promote-health/OASIS.cfm" TargetMode="External"/><Relationship Id="rId25" Type="http://schemas.openxmlformats.org/officeDocument/2006/relationships/hyperlink" Target="http://www.american.edu/ocl/kay/Major-Religious-Holy-Days.cfm" TargetMode="External"/><Relationship Id="rId33" Type="http://schemas.openxmlformats.org/officeDocument/2006/relationships/hyperlink" Target="https://american.mywconline.net/" TargetMode="External"/><Relationship Id="rId38" Type="http://schemas.openxmlformats.org/officeDocument/2006/relationships/hyperlink" Target="http://www.american.edu/ocl/cdi/" TargetMode="External"/><Relationship Id="rId46" Type="http://schemas.openxmlformats.org/officeDocument/2006/relationships/hyperlink" Target="https://www.american.edu/ocl/cdi/TRG.cfm" TargetMode="External"/><Relationship Id="rId2" Type="http://schemas.openxmlformats.org/officeDocument/2006/relationships/customXml" Target="../customXml/item2.xml"/><Relationship Id="rId16" Type="http://schemas.openxmlformats.org/officeDocument/2006/relationships/hyperlink" Target="mailto:TitleIX@american.edu" TargetMode="External"/><Relationship Id="rId20" Type="http://schemas.openxmlformats.org/officeDocument/2006/relationships/hyperlink" Target="https://www.american.edu/policies/au-community/discrimination-and-non-title-ix-sexual-misconduct.cfm" TargetMode="External"/><Relationship Id="rId29" Type="http://schemas.openxmlformats.org/officeDocument/2006/relationships/hyperlink" Target="https://www.american.edu/provost/academic-access/tutor-services.cfm" TargetMode="External"/><Relationship Id="rId41" Type="http://schemas.openxmlformats.org/officeDocument/2006/relationships/hyperlink" Target="http://www.american.edu/do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erican.edu/academics/integrity/" TargetMode="External"/><Relationship Id="rId24" Type="http://schemas.openxmlformats.org/officeDocument/2006/relationships/hyperlink" Target="http://www.american.edu/ocl/sccrs/" TargetMode="External"/><Relationship Id="rId32" Type="http://schemas.openxmlformats.org/officeDocument/2006/relationships/hyperlink" Target="https://www.american.edu/provost/academic-access/mathstat.cfm" TargetMode="External"/><Relationship Id="rId37" Type="http://schemas.openxmlformats.org/officeDocument/2006/relationships/hyperlink" Target="https://american.mywconline.net/" TargetMode="External"/><Relationship Id="rId40" Type="http://schemas.openxmlformats.org/officeDocument/2006/relationships/hyperlink" Target="http://www.american.edu/dos" TargetMode="External"/><Relationship Id="rId45" Type="http://schemas.openxmlformats.org/officeDocument/2006/relationships/hyperlink" Target="https://www.american.edu/policies/au-community/upload/discrimination-and-non-title-ix-sexual-misconduct-policy-web.pdf"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merican.edu/ocl/TitleIX/index.cfm" TargetMode="External"/><Relationship Id="rId23" Type="http://schemas.openxmlformats.org/officeDocument/2006/relationships/hyperlink" Target="http://www.prepared.american.edu/" TargetMode="External"/><Relationship Id="rId28" Type="http://schemas.openxmlformats.org/officeDocument/2006/relationships/hyperlink" Target="mailto:academiccoaching@american.edu" TargetMode="External"/><Relationship Id="rId36" Type="http://schemas.openxmlformats.org/officeDocument/2006/relationships/hyperlink" Target="http://www.american.edu/cas/writing/" TargetMode="External"/><Relationship Id="rId49" Type="http://schemas.openxmlformats.org/officeDocument/2006/relationships/header" Target="header1.xml"/><Relationship Id="rId10" Type="http://schemas.openxmlformats.org/officeDocument/2006/relationships/hyperlink" Target="http://catalog.american.edu/" TargetMode="External"/><Relationship Id="rId19" Type="http://schemas.openxmlformats.org/officeDocument/2006/relationships/hyperlink" Target="https://www.american.edu/ocl/TitleIX/support.cfm" TargetMode="External"/><Relationship Id="rId31" Type="http://schemas.openxmlformats.org/officeDocument/2006/relationships/hyperlink" Target="https://www.american.edu/ocl/isss/index.cfm" TargetMode="External"/><Relationship Id="rId44" Type="http://schemas.openxmlformats.org/officeDocument/2006/relationships/hyperlink" Target="mailto:oasis@american.edu"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s@american.edu" TargetMode="External"/><Relationship Id="rId22" Type="http://schemas.openxmlformats.org/officeDocument/2006/relationships/hyperlink" Target="https://www.american.edu/policies/au-community/title-ix-sexual-harassment-policy.cfm" TargetMode="External"/><Relationship Id="rId27" Type="http://schemas.openxmlformats.org/officeDocument/2006/relationships/hyperlink" Target="https://auacademiccoaching.youcanbook.me/" TargetMode="External"/><Relationship Id="rId30" Type="http://schemas.openxmlformats.org/officeDocument/2006/relationships/hyperlink" Target="https://american.mywconline.net/" TargetMode="External"/><Relationship Id="rId35" Type="http://schemas.openxmlformats.org/officeDocument/2006/relationships/hyperlink" Target="mailto:siprogram@american.edu" TargetMode="External"/><Relationship Id="rId43" Type="http://schemas.openxmlformats.org/officeDocument/2006/relationships/hyperlink" Target="http://auhpac.youcanbook.me/" TargetMode="External"/><Relationship Id="rId48" Type="http://schemas.openxmlformats.org/officeDocument/2006/relationships/hyperlink" Target="https://www.american.edu/provost/academic-access/documentation-and-eligibility.cfm" TargetMode="External"/><Relationship Id="rId8" Type="http://schemas.openxmlformats.org/officeDocument/2006/relationships/footnotes" Target="footnotes.xml"/><Relationship Id="rId5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0B62B8927941B468026378478702" ma:contentTypeVersion="4" ma:contentTypeDescription="Create a new document." ma:contentTypeScope="" ma:versionID="a0f95c7d88fe4fbb3509a56a9ed108be">
  <xsd:schema xmlns:xsd="http://www.w3.org/2001/XMLSchema" xmlns:xs="http://www.w3.org/2001/XMLSchema" xmlns:p="http://schemas.microsoft.com/office/2006/metadata/properties" xmlns:ns2="43c5768b-591c-4ee0-a5ac-62f044b8afd9" targetNamespace="http://schemas.microsoft.com/office/2006/metadata/properties" ma:root="true" ma:fieldsID="36fe30a3defa48ff53cff7e71351b776" ns2:_="">
    <xsd:import namespace="43c5768b-591c-4ee0-a5ac-62f044b8a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5768b-591c-4ee0-a5ac-62f044b8a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98B71-1CA6-478C-A9D1-D0185ACF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5768b-591c-4ee0-a5ac-62f044b8a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78051-6DC9-46DD-9150-8EF46694F5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A0EAD-6859-4648-8C00-80DB91863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8</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Gavin Frome</cp:lastModifiedBy>
  <cp:revision>22</cp:revision>
  <dcterms:created xsi:type="dcterms:W3CDTF">2019-10-31T18:46:00Z</dcterms:created>
  <dcterms:modified xsi:type="dcterms:W3CDTF">2021-01-07T19:35:00Z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0x01010062B20B62B8927941B468026378478702</vt:lpwstr>
  </property>
</Properties>
</file>