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BA1A" w14:textId="0D591965" w:rsidR="009E7648" w:rsidRPr="00D31A97" w:rsidRDefault="009E7648" w:rsidP="00EA7E4D">
      <w:pPr>
        <w:spacing w:before="100" w:beforeAutospacing="1" w:after="100" w:afterAutospacing="1" w:line="480" w:lineRule="auto"/>
        <w:contextualSpacing/>
        <w:rPr>
          <w:rFonts w:ascii="Times New Roman" w:hAnsi="Times New Roman" w:cs="Times New Roman"/>
          <w:color w:val="000000" w:themeColor="text1"/>
        </w:rPr>
      </w:pPr>
      <w:r w:rsidRPr="00D31A97">
        <w:rPr>
          <w:rFonts w:ascii="Times New Roman" w:hAnsi="Times New Roman" w:cs="Times New Roman"/>
          <w:color w:val="000000" w:themeColor="text1"/>
        </w:rPr>
        <w:t>Giovanni Gutierrez</w:t>
      </w:r>
    </w:p>
    <w:p w14:paraId="2E2FF044" w14:textId="44BBD61C" w:rsidR="009E7648" w:rsidRPr="00D31A97" w:rsidRDefault="009E7648" w:rsidP="00EA7E4D">
      <w:pPr>
        <w:spacing w:before="100" w:beforeAutospacing="1" w:after="100" w:afterAutospacing="1" w:line="480" w:lineRule="auto"/>
        <w:contextualSpacing/>
        <w:rPr>
          <w:rFonts w:ascii="Times New Roman" w:hAnsi="Times New Roman" w:cs="Times New Roman"/>
          <w:color w:val="000000" w:themeColor="text1"/>
        </w:rPr>
      </w:pPr>
      <w:r w:rsidRPr="00D31A97">
        <w:rPr>
          <w:rFonts w:ascii="Times New Roman" w:hAnsi="Times New Roman" w:cs="Times New Roman"/>
          <w:color w:val="000000" w:themeColor="text1"/>
        </w:rPr>
        <w:t>ACCT 245-006</w:t>
      </w:r>
    </w:p>
    <w:p w14:paraId="7511BBEC" w14:textId="2F6A75FA" w:rsidR="009E7648" w:rsidRPr="00D31A97" w:rsidRDefault="009E7648" w:rsidP="00EA7E4D">
      <w:pPr>
        <w:spacing w:before="100" w:beforeAutospacing="1" w:after="100" w:afterAutospacing="1" w:line="480" w:lineRule="auto"/>
        <w:contextualSpacing/>
        <w:rPr>
          <w:rFonts w:ascii="Times New Roman" w:hAnsi="Times New Roman" w:cs="Times New Roman"/>
          <w:color w:val="000000" w:themeColor="text1"/>
        </w:rPr>
      </w:pPr>
      <w:r w:rsidRPr="00D31A97">
        <w:rPr>
          <w:rFonts w:ascii="Times New Roman" w:hAnsi="Times New Roman" w:cs="Times New Roman"/>
          <w:color w:val="000000" w:themeColor="text1"/>
        </w:rPr>
        <w:t>Professor Cooper</w:t>
      </w:r>
    </w:p>
    <w:p w14:paraId="223CC260" w14:textId="5E3437E2" w:rsidR="009E7648" w:rsidRPr="00D31A97" w:rsidRDefault="009E7648" w:rsidP="00EA7E4D">
      <w:pPr>
        <w:spacing w:before="100" w:beforeAutospacing="1" w:after="100" w:afterAutospacing="1" w:line="480" w:lineRule="auto"/>
        <w:contextualSpacing/>
        <w:rPr>
          <w:rFonts w:ascii="Times New Roman" w:hAnsi="Times New Roman" w:cs="Times New Roman"/>
          <w:color w:val="000000" w:themeColor="text1"/>
        </w:rPr>
      </w:pPr>
      <w:r w:rsidRPr="00D31A97">
        <w:rPr>
          <w:rFonts w:ascii="Times New Roman" w:hAnsi="Times New Roman" w:cs="Times New Roman"/>
          <w:color w:val="000000" w:themeColor="text1"/>
        </w:rPr>
        <w:t>04/14/2021</w:t>
      </w:r>
    </w:p>
    <w:p w14:paraId="1450BF4F" w14:textId="333A65A3" w:rsidR="00CA32CD" w:rsidRPr="00D31A97" w:rsidRDefault="00CA32CD" w:rsidP="00EA7E4D">
      <w:pPr>
        <w:spacing w:before="100" w:beforeAutospacing="1" w:after="100" w:afterAutospacing="1" w:line="480" w:lineRule="auto"/>
        <w:contextualSpacing/>
        <w:jc w:val="center"/>
        <w:rPr>
          <w:rFonts w:ascii="Times New Roman" w:hAnsi="Times New Roman" w:cs="Times New Roman"/>
          <w:b/>
          <w:bCs/>
          <w:color w:val="000000" w:themeColor="text1"/>
        </w:rPr>
      </w:pPr>
      <w:r w:rsidRPr="00D31A97">
        <w:rPr>
          <w:rFonts w:ascii="Times New Roman" w:hAnsi="Times New Roman" w:cs="Times New Roman"/>
          <w:b/>
          <w:bCs/>
          <w:color w:val="000000" w:themeColor="text1"/>
        </w:rPr>
        <w:t>Forceful Arbitration v. the Workforce</w:t>
      </w:r>
    </w:p>
    <w:p w14:paraId="23E3E551" w14:textId="66217934" w:rsidR="00F154EB" w:rsidRPr="00D31A97" w:rsidRDefault="00FC4D47" w:rsidP="00EA7E4D">
      <w:pPr>
        <w:spacing w:before="100" w:beforeAutospacing="1" w:after="100" w:afterAutospacing="1" w:line="480" w:lineRule="auto"/>
        <w:contextualSpacing/>
        <w:rPr>
          <w:rFonts w:ascii="Times New Roman" w:eastAsia="Times New Roman" w:hAnsi="Times New Roman" w:cs="Times New Roman"/>
          <w:b/>
          <w:bCs/>
          <w:color w:val="000000" w:themeColor="text1"/>
        </w:rPr>
      </w:pPr>
      <w:r w:rsidRPr="00D31A97">
        <w:rPr>
          <w:rFonts w:ascii="Times New Roman" w:eastAsia="Times New Roman" w:hAnsi="Times New Roman" w:cs="Times New Roman"/>
          <w:b/>
          <w:bCs/>
          <w:color w:val="000000" w:themeColor="text1"/>
        </w:rPr>
        <w:t>Overview</w:t>
      </w:r>
    </w:p>
    <w:p w14:paraId="60BB35D7" w14:textId="3ED45991" w:rsidR="009A14E2" w:rsidRPr="00D31A97" w:rsidRDefault="009E74A2"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Employer-mandated arbitration is actively</w:t>
      </w:r>
      <w:r w:rsidR="009A14E2" w:rsidRPr="00D31A97">
        <w:rPr>
          <w:rFonts w:ascii="Times New Roman" w:eastAsia="Times New Roman" w:hAnsi="Times New Roman" w:cs="Times New Roman"/>
          <w:color w:val="000000" w:themeColor="text1"/>
        </w:rPr>
        <w:t xml:space="preserve"> and rapidly</w:t>
      </w:r>
      <w:r w:rsidRPr="00D31A97">
        <w:rPr>
          <w:rFonts w:ascii="Times New Roman" w:eastAsia="Times New Roman" w:hAnsi="Times New Roman" w:cs="Times New Roman"/>
          <w:color w:val="000000" w:themeColor="text1"/>
        </w:rPr>
        <w:t xml:space="preserve"> </w:t>
      </w:r>
      <w:r w:rsidR="00057C69" w:rsidRPr="00D31A97">
        <w:rPr>
          <w:rFonts w:ascii="Times New Roman" w:eastAsia="Times New Roman" w:hAnsi="Times New Roman" w:cs="Times New Roman"/>
          <w:color w:val="000000" w:themeColor="text1"/>
        </w:rPr>
        <w:t>expanding</w:t>
      </w:r>
      <w:r w:rsidRPr="00D31A97">
        <w:rPr>
          <w:rFonts w:ascii="Times New Roman" w:eastAsia="Times New Roman" w:hAnsi="Times New Roman" w:cs="Times New Roman"/>
          <w:color w:val="000000" w:themeColor="text1"/>
        </w:rPr>
        <w:t xml:space="preserve"> in the United States. </w:t>
      </w:r>
      <w:r w:rsidR="00F154EB" w:rsidRPr="00D31A97">
        <w:rPr>
          <w:rFonts w:ascii="Times New Roman" w:eastAsia="Times New Roman" w:hAnsi="Times New Roman" w:cs="Times New Roman"/>
          <w:color w:val="000000" w:themeColor="text1"/>
        </w:rPr>
        <w:t xml:space="preserve">Through this </w:t>
      </w:r>
      <w:r w:rsidR="009A14E2" w:rsidRPr="00D31A97">
        <w:rPr>
          <w:rFonts w:ascii="Times New Roman" w:eastAsia="Times New Roman" w:hAnsi="Times New Roman" w:cs="Times New Roman"/>
          <w:color w:val="000000" w:themeColor="text1"/>
        </w:rPr>
        <w:t>controversial practice</w:t>
      </w:r>
      <w:r w:rsidR="00F154EB" w:rsidRPr="00D31A97">
        <w:rPr>
          <w:rFonts w:ascii="Times New Roman" w:eastAsia="Times New Roman" w:hAnsi="Times New Roman" w:cs="Times New Roman"/>
          <w:color w:val="000000" w:themeColor="text1"/>
        </w:rPr>
        <w:t>, e</w:t>
      </w:r>
      <w:r w:rsidRPr="00D31A97">
        <w:rPr>
          <w:rFonts w:ascii="Times New Roman" w:eastAsia="Times New Roman" w:hAnsi="Times New Roman" w:cs="Times New Roman"/>
          <w:color w:val="000000" w:themeColor="text1"/>
        </w:rPr>
        <w:t xml:space="preserve">mployers require their employees to give up their right to litigation and instead turn to </w:t>
      </w:r>
      <w:r w:rsidR="003F0453" w:rsidRPr="00D31A97">
        <w:rPr>
          <w:rFonts w:ascii="Times New Roman" w:eastAsia="Times New Roman" w:hAnsi="Times New Roman" w:cs="Times New Roman"/>
          <w:color w:val="000000" w:themeColor="text1"/>
        </w:rPr>
        <w:t xml:space="preserve">a specified, </w:t>
      </w:r>
      <w:r w:rsidRPr="00D31A97">
        <w:rPr>
          <w:rFonts w:ascii="Times New Roman" w:eastAsia="Times New Roman" w:hAnsi="Times New Roman" w:cs="Times New Roman"/>
          <w:color w:val="000000" w:themeColor="text1"/>
        </w:rPr>
        <w:t>mandatory arbitration</w:t>
      </w:r>
      <w:r w:rsidR="003F0453" w:rsidRPr="00D31A97">
        <w:rPr>
          <w:rFonts w:ascii="Times New Roman" w:eastAsia="Times New Roman" w:hAnsi="Times New Roman" w:cs="Times New Roman"/>
          <w:color w:val="000000" w:themeColor="text1"/>
        </w:rPr>
        <w:t xml:space="preserve"> forum</w:t>
      </w:r>
      <w:r w:rsidRPr="00D31A97">
        <w:rPr>
          <w:rFonts w:ascii="Times New Roman" w:eastAsia="Times New Roman" w:hAnsi="Times New Roman" w:cs="Times New Roman"/>
          <w:color w:val="000000" w:themeColor="text1"/>
        </w:rPr>
        <w:t xml:space="preserve"> as </w:t>
      </w:r>
      <w:r w:rsidR="00057C69" w:rsidRPr="00D31A97">
        <w:rPr>
          <w:rFonts w:ascii="Times New Roman" w:eastAsia="Times New Roman" w:hAnsi="Times New Roman" w:cs="Times New Roman"/>
          <w:color w:val="000000" w:themeColor="text1"/>
        </w:rPr>
        <w:t xml:space="preserve">a </w:t>
      </w:r>
      <w:r w:rsidRPr="00D31A97">
        <w:rPr>
          <w:rFonts w:ascii="Times New Roman" w:eastAsia="Times New Roman" w:hAnsi="Times New Roman" w:cs="Times New Roman"/>
          <w:color w:val="000000" w:themeColor="text1"/>
        </w:rPr>
        <w:t>non-negotiable condition of their employment.</w:t>
      </w:r>
      <w:r w:rsidR="009E7648" w:rsidRPr="00D31A97">
        <w:rPr>
          <w:rFonts w:ascii="Times New Roman" w:eastAsia="Times New Roman" w:hAnsi="Times New Roman" w:cs="Times New Roman"/>
          <w:color w:val="000000" w:themeColor="text1"/>
        </w:rPr>
        <w:t xml:space="preserve"> If either party chooses to pursue their disputes in court, the opposing party can file a motion to compel arbitration. </w:t>
      </w:r>
      <w:r w:rsidR="00306562" w:rsidRPr="00D31A97">
        <w:rPr>
          <w:rFonts w:ascii="Times New Roman" w:eastAsia="Times New Roman" w:hAnsi="Times New Roman" w:cs="Times New Roman"/>
          <w:color w:val="000000" w:themeColor="text1"/>
        </w:rPr>
        <w:t xml:space="preserve">These employers also tend to forbid class actions, a type of lawsuit in which one or some members within a party files a lawsuit on behalf a group of people. </w:t>
      </w:r>
    </w:p>
    <w:p w14:paraId="39B7A93B" w14:textId="69E10580" w:rsidR="009E74A2" w:rsidRPr="00D31A97" w:rsidRDefault="002B3379"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Although </w:t>
      </w:r>
      <w:r w:rsidRPr="00D31A97">
        <w:rPr>
          <w:rFonts w:ascii="Times New Roman" w:eastAsia="Times New Roman" w:hAnsi="Times New Roman" w:cs="Times New Roman"/>
          <w:i/>
          <w:iCs/>
          <w:color w:val="000000" w:themeColor="text1"/>
        </w:rPr>
        <w:t>Gilmer v. Interstate/ Johnson Lane</w:t>
      </w:r>
      <w:r w:rsidRPr="00D31A97">
        <w:rPr>
          <w:rFonts w:ascii="Times New Roman" w:eastAsia="Times New Roman" w:hAnsi="Times New Roman" w:cs="Times New Roman"/>
          <w:color w:val="000000" w:themeColor="text1"/>
        </w:rPr>
        <w:t xml:space="preserve"> </w:t>
      </w:r>
      <w:r w:rsidRPr="00D31A97">
        <w:rPr>
          <w:rFonts w:ascii="Times New Roman" w:eastAsia="Times New Roman" w:hAnsi="Times New Roman" w:cs="Times New Roman"/>
          <w:i/>
          <w:iCs/>
          <w:color w:val="000000" w:themeColor="text1"/>
        </w:rPr>
        <w:t>Corp.</w:t>
      </w:r>
      <w:r w:rsidRPr="00D31A97">
        <w:rPr>
          <w:rFonts w:ascii="Times New Roman" w:eastAsia="Times New Roman" w:hAnsi="Times New Roman" w:cs="Times New Roman"/>
          <w:color w:val="000000" w:themeColor="text1"/>
        </w:rPr>
        <w:t xml:space="preserve"> </w:t>
      </w:r>
      <w:r w:rsidRPr="00D31A97">
        <w:rPr>
          <w:rFonts w:ascii="Times New Roman" w:eastAsia="Times New Roman" w:hAnsi="Times New Roman" w:cs="Times New Roman"/>
          <w:i/>
          <w:iCs/>
          <w:color w:val="000000" w:themeColor="text1"/>
        </w:rPr>
        <w:t>(1991)</w:t>
      </w:r>
      <w:r w:rsidR="00E23684" w:rsidRPr="00D31A97">
        <w:rPr>
          <w:rFonts w:ascii="Times New Roman" w:eastAsia="Times New Roman" w:hAnsi="Times New Roman" w:cs="Times New Roman"/>
          <w:color w:val="000000" w:themeColor="text1"/>
        </w:rPr>
        <w:t xml:space="preserve"> </w:t>
      </w:r>
      <w:r w:rsidRPr="00D31A97">
        <w:rPr>
          <w:rFonts w:ascii="Times New Roman" w:eastAsia="Times New Roman" w:hAnsi="Times New Roman" w:cs="Times New Roman"/>
          <w:color w:val="000000" w:themeColor="text1"/>
        </w:rPr>
        <w:t>set the stage for private employers to expand mandated arbitration, the t</w:t>
      </w:r>
      <w:r w:rsidR="00C25A30" w:rsidRPr="00D31A97">
        <w:rPr>
          <w:rFonts w:ascii="Times New Roman" w:eastAsia="Times New Roman" w:hAnsi="Times New Roman" w:cs="Times New Roman"/>
          <w:color w:val="000000" w:themeColor="text1"/>
        </w:rPr>
        <w:t xml:space="preserve">hree cases </w:t>
      </w:r>
      <w:r w:rsidRPr="00D31A97">
        <w:rPr>
          <w:rFonts w:ascii="Times New Roman" w:eastAsia="Times New Roman" w:hAnsi="Times New Roman" w:cs="Times New Roman"/>
          <w:color w:val="000000" w:themeColor="text1"/>
        </w:rPr>
        <w:t xml:space="preserve">of </w:t>
      </w:r>
      <w:r w:rsidRPr="00D31A97">
        <w:rPr>
          <w:rFonts w:ascii="Times New Roman" w:eastAsia="Times New Roman" w:hAnsi="Times New Roman" w:cs="Times New Roman"/>
          <w:i/>
          <w:iCs/>
          <w:color w:val="000000" w:themeColor="text1"/>
        </w:rPr>
        <w:t>AT&amp;T Mobility LLC v. Conception (2011)</w:t>
      </w:r>
      <w:r w:rsidRPr="00D31A97">
        <w:rPr>
          <w:rFonts w:ascii="Times New Roman" w:eastAsia="Times New Roman" w:hAnsi="Times New Roman" w:cs="Times New Roman"/>
          <w:color w:val="000000" w:themeColor="text1"/>
        </w:rPr>
        <w:t xml:space="preserve">, </w:t>
      </w:r>
      <w:r w:rsidRPr="00D31A97">
        <w:rPr>
          <w:rFonts w:ascii="Times New Roman" w:eastAsia="Times New Roman" w:hAnsi="Times New Roman" w:cs="Times New Roman"/>
          <w:i/>
          <w:iCs/>
          <w:color w:val="000000" w:themeColor="text1"/>
        </w:rPr>
        <w:t>American Express Co., et al. v. Italian Colors Restaurant (2013)</w:t>
      </w:r>
      <w:r w:rsidRPr="00D31A97">
        <w:rPr>
          <w:rFonts w:ascii="Times New Roman" w:eastAsia="Times New Roman" w:hAnsi="Times New Roman" w:cs="Times New Roman"/>
          <w:color w:val="000000" w:themeColor="text1"/>
        </w:rPr>
        <w:t xml:space="preserve">, </w:t>
      </w:r>
      <w:r w:rsidRPr="00D31A97">
        <w:rPr>
          <w:rFonts w:ascii="Times New Roman" w:eastAsia="Times New Roman" w:hAnsi="Times New Roman" w:cs="Times New Roman"/>
          <w:i/>
          <w:iCs/>
          <w:color w:val="000000" w:themeColor="text1"/>
        </w:rPr>
        <w:t>Epic Systems Corp. v. Lewis (2018)</w:t>
      </w:r>
      <w:r w:rsidR="00C25A30" w:rsidRPr="00D31A97">
        <w:rPr>
          <w:rFonts w:ascii="Times New Roman" w:eastAsia="Times New Roman" w:hAnsi="Times New Roman" w:cs="Times New Roman"/>
          <w:color w:val="000000" w:themeColor="text1"/>
        </w:rPr>
        <w:t xml:space="preserve"> </w:t>
      </w:r>
      <w:r w:rsidRPr="00D31A97">
        <w:rPr>
          <w:rFonts w:ascii="Times New Roman" w:eastAsia="Times New Roman" w:hAnsi="Times New Roman" w:cs="Times New Roman"/>
          <w:color w:val="000000" w:themeColor="text1"/>
        </w:rPr>
        <w:t>further strengthened employers’ position</w:t>
      </w:r>
      <w:r w:rsidR="003E5436" w:rsidRPr="00D31A97">
        <w:rPr>
          <w:rFonts w:ascii="Times New Roman" w:eastAsia="Times New Roman" w:hAnsi="Times New Roman" w:cs="Times New Roman"/>
          <w:color w:val="000000" w:themeColor="text1"/>
        </w:rPr>
        <w:t xml:space="preserve"> and power</w:t>
      </w:r>
      <w:r w:rsidRPr="00D31A97">
        <w:rPr>
          <w:rFonts w:ascii="Times New Roman" w:eastAsia="Times New Roman" w:hAnsi="Times New Roman" w:cs="Times New Roman"/>
          <w:color w:val="000000" w:themeColor="text1"/>
        </w:rPr>
        <w:t xml:space="preserve"> in arbitration. </w:t>
      </w:r>
      <w:r w:rsidR="00306562" w:rsidRPr="00D31A97">
        <w:rPr>
          <w:rFonts w:ascii="Times New Roman" w:eastAsia="Times New Roman" w:hAnsi="Times New Roman" w:cs="Times New Roman"/>
          <w:color w:val="000000" w:themeColor="text1"/>
        </w:rPr>
        <w:t xml:space="preserve">This paper concludes that employer-mandated arbitration unjustly favors employers and defeats the purpose of the Federal Arbitration Act, weaking employees and those whose rights have been violated since they cannot pursue fair litigation. </w:t>
      </w:r>
    </w:p>
    <w:p w14:paraId="2B618FCD" w14:textId="5BAF9053" w:rsidR="00F154EB" w:rsidRPr="00D31A97" w:rsidRDefault="00F154EB" w:rsidP="00EA7E4D">
      <w:pPr>
        <w:spacing w:before="100" w:beforeAutospacing="1" w:after="100" w:afterAutospacing="1" w:line="480" w:lineRule="auto"/>
        <w:contextualSpacing/>
        <w:rPr>
          <w:rFonts w:ascii="Times New Roman" w:eastAsia="Times New Roman" w:hAnsi="Times New Roman" w:cs="Times New Roman"/>
          <w:b/>
          <w:bCs/>
          <w:color w:val="000000" w:themeColor="text1"/>
        </w:rPr>
      </w:pPr>
      <w:r w:rsidRPr="00D31A97">
        <w:rPr>
          <w:rFonts w:ascii="Times New Roman" w:eastAsia="Times New Roman" w:hAnsi="Times New Roman" w:cs="Times New Roman"/>
          <w:b/>
          <w:bCs/>
          <w:color w:val="000000" w:themeColor="text1"/>
        </w:rPr>
        <w:t>Histo</w:t>
      </w:r>
      <w:r w:rsidR="00FC4D47" w:rsidRPr="00D31A97">
        <w:rPr>
          <w:rFonts w:ascii="Times New Roman" w:eastAsia="Times New Roman" w:hAnsi="Times New Roman" w:cs="Times New Roman"/>
          <w:b/>
          <w:bCs/>
          <w:color w:val="000000" w:themeColor="text1"/>
        </w:rPr>
        <w:t>rical Analysis</w:t>
      </w:r>
    </w:p>
    <w:p w14:paraId="1A87194C" w14:textId="6553C414" w:rsidR="00865910" w:rsidRPr="00D31A97" w:rsidRDefault="00865910"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Whereas prior to the 1990s, employers and employees resolved their disputes through litigation, mandatory employment arbitration grew significantly from the 1990’s to present day. </w:t>
      </w:r>
      <w:r w:rsidRPr="00D31A97">
        <w:rPr>
          <w:rFonts w:ascii="Times New Roman" w:eastAsia="Times New Roman" w:hAnsi="Times New Roman" w:cs="Times New Roman"/>
          <w:color w:val="000000" w:themeColor="text1"/>
        </w:rPr>
        <w:lastRenderedPageBreak/>
        <w:t>By the 1990s, only 2% of non-union employees faced mandatory employment arbitration, by the 2000’s almost a quarter, and in present day over half of these employees must undergo binding arbitration (Bickerman</w:t>
      </w:r>
      <w:r w:rsidR="009A535A" w:rsidRPr="00D31A97">
        <w:rPr>
          <w:rFonts w:ascii="Times New Roman" w:eastAsia="Times New Roman" w:hAnsi="Times New Roman" w:cs="Times New Roman"/>
          <w:color w:val="000000" w:themeColor="text1"/>
        </w:rPr>
        <w:t>,</w:t>
      </w:r>
      <w:r w:rsidRPr="00D31A97">
        <w:rPr>
          <w:rFonts w:ascii="Times New Roman" w:eastAsia="Times New Roman" w:hAnsi="Times New Roman" w:cs="Times New Roman"/>
          <w:color w:val="000000" w:themeColor="text1"/>
        </w:rPr>
        <w:t xml:space="preserve"> 2020). Its rapid expansion and frequency tightly correlate with Court rulings that favored employers starting in 1991 that encouraged the use of mandated-employer arbitration.</w:t>
      </w:r>
    </w:p>
    <w:p w14:paraId="111F9D1A" w14:textId="028FBA33" w:rsidR="00C71156" w:rsidRPr="00D31A97" w:rsidRDefault="00865910"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In 1991, the Supreme Court upheld that mandatory employment could be enforced through </w:t>
      </w:r>
      <w:r w:rsidRPr="00D31A97">
        <w:rPr>
          <w:rFonts w:ascii="Times New Roman" w:eastAsia="Times New Roman" w:hAnsi="Times New Roman" w:cs="Times New Roman"/>
          <w:i/>
          <w:iCs/>
          <w:color w:val="000000" w:themeColor="text1"/>
        </w:rPr>
        <w:t>Gilmer v. Interstate/ Johnson Lane</w:t>
      </w:r>
      <w:r w:rsidR="008236D5" w:rsidRPr="00D31A97">
        <w:rPr>
          <w:rFonts w:ascii="Times New Roman" w:eastAsia="Times New Roman" w:hAnsi="Times New Roman" w:cs="Times New Roman"/>
          <w:i/>
          <w:iCs/>
          <w:color w:val="000000" w:themeColor="text1"/>
        </w:rPr>
        <w:t xml:space="preserve"> Corp. (1991)</w:t>
      </w:r>
      <w:r w:rsidRPr="00D31A97">
        <w:rPr>
          <w:rFonts w:ascii="Times New Roman" w:eastAsia="Times New Roman" w:hAnsi="Times New Roman" w:cs="Times New Roman"/>
          <w:color w:val="000000" w:themeColor="text1"/>
        </w:rPr>
        <w:t xml:space="preserve">. This crucial decision greatly influenced employers to expand their mandatory arbitration requirements, making one-quarter of the workforce subject to arbitration by the 2000s. In less than a decade, this landmark decision promoted and expanded the use of binding arbitration as opposed to litigation. </w:t>
      </w:r>
    </w:p>
    <w:p w14:paraId="0E02F8A5" w14:textId="3C45A574" w:rsidR="00EA26D5" w:rsidRPr="00D31A97" w:rsidRDefault="00C71156"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However, it was not until a decade later that employers rapidly </w:t>
      </w:r>
      <w:r w:rsidR="00C725D7" w:rsidRPr="00D31A97">
        <w:rPr>
          <w:rFonts w:ascii="Times New Roman" w:eastAsia="Times New Roman" w:hAnsi="Times New Roman" w:cs="Times New Roman"/>
          <w:color w:val="000000" w:themeColor="text1"/>
        </w:rPr>
        <w:t xml:space="preserve">started </w:t>
      </w:r>
      <w:r w:rsidRPr="00D31A97">
        <w:rPr>
          <w:rFonts w:ascii="Times New Roman" w:eastAsia="Times New Roman" w:hAnsi="Times New Roman" w:cs="Times New Roman"/>
          <w:color w:val="000000" w:themeColor="text1"/>
        </w:rPr>
        <w:t>adopt</w:t>
      </w:r>
      <w:r w:rsidR="00C725D7" w:rsidRPr="00D31A97">
        <w:rPr>
          <w:rFonts w:ascii="Times New Roman" w:eastAsia="Times New Roman" w:hAnsi="Times New Roman" w:cs="Times New Roman"/>
          <w:color w:val="000000" w:themeColor="text1"/>
        </w:rPr>
        <w:t>ing</w:t>
      </w:r>
      <w:r w:rsidRPr="00D31A97">
        <w:rPr>
          <w:rFonts w:ascii="Times New Roman" w:eastAsia="Times New Roman" w:hAnsi="Times New Roman" w:cs="Times New Roman"/>
          <w:color w:val="000000" w:themeColor="text1"/>
        </w:rPr>
        <w:t xml:space="preserve"> this practice. Data supports that employer-mandated arbitration rapidly expanded soon after the 2011 and 2013 </w:t>
      </w:r>
      <w:r w:rsidR="00C725D7" w:rsidRPr="00D31A97">
        <w:rPr>
          <w:rFonts w:ascii="Times New Roman" w:eastAsia="Times New Roman" w:hAnsi="Times New Roman" w:cs="Times New Roman"/>
          <w:color w:val="000000" w:themeColor="text1"/>
        </w:rPr>
        <w:t xml:space="preserve">Court </w:t>
      </w:r>
      <w:r w:rsidRPr="00D31A97">
        <w:rPr>
          <w:rFonts w:ascii="Times New Roman" w:eastAsia="Times New Roman" w:hAnsi="Times New Roman" w:cs="Times New Roman"/>
          <w:color w:val="000000" w:themeColor="text1"/>
        </w:rPr>
        <w:t>decision</w:t>
      </w:r>
      <w:r w:rsidR="00C725D7" w:rsidRPr="00D31A97">
        <w:rPr>
          <w:rFonts w:ascii="Times New Roman" w:eastAsia="Times New Roman" w:hAnsi="Times New Roman" w:cs="Times New Roman"/>
          <w:color w:val="000000" w:themeColor="text1"/>
        </w:rPr>
        <w:t>s</w:t>
      </w:r>
      <w:r w:rsidRPr="00D31A97">
        <w:rPr>
          <w:rFonts w:ascii="Times New Roman" w:eastAsia="Times New Roman" w:hAnsi="Times New Roman" w:cs="Times New Roman"/>
          <w:color w:val="000000" w:themeColor="text1"/>
        </w:rPr>
        <w:t>. From 2012 to 2018, 45.3% of larger establishments and corporations adopted mandated arbitration (Colvin</w:t>
      </w:r>
      <w:r w:rsidR="009A535A" w:rsidRPr="00D31A97">
        <w:rPr>
          <w:rFonts w:ascii="Times New Roman" w:eastAsia="Times New Roman" w:hAnsi="Times New Roman" w:cs="Times New Roman"/>
          <w:color w:val="000000" w:themeColor="text1"/>
        </w:rPr>
        <w:t>,</w:t>
      </w:r>
      <w:r w:rsidRPr="00D31A97">
        <w:rPr>
          <w:rFonts w:ascii="Times New Roman" w:eastAsia="Times New Roman" w:hAnsi="Times New Roman" w:cs="Times New Roman"/>
          <w:color w:val="000000" w:themeColor="text1"/>
        </w:rPr>
        <w:t xml:space="preserve"> 2018).</w:t>
      </w:r>
      <w:r w:rsidR="00EA26D5" w:rsidRPr="00D31A97">
        <w:rPr>
          <w:rFonts w:ascii="Times New Roman" w:eastAsia="Times New Roman" w:hAnsi="Times New Roman" w:cs="Times New Roman"/>
          <w:color w:val="000000" w:themeColor="text1"/>
        </w:rPr>
        <w:t xml:space="preserve"> This largely correlates to Supreme Court decisions about arbitration and class action lawsuits.</w:t>
      </w:r>
      <w:r w:rsidRPr="00D31A97">
        <w:rPr>
          <w:rFonts w:ascii="Times New Roman" w:eastAsia="Times New Roman" w:hAnsi="Times New Roman" w:cs="Times New Roman"/>
          <w:color w:val="000000" w:themeColor="text1"/>
        </w:rPr>
        <w:t xml:space="preserve"> </w:t>
      </w:r>
      <w:r w:rsidR="00EA26D5" w:rsidRPr="00D31A97">
        <w:rPr>
          <w:rFonts w:ascii="Times New Roman" w:eastAsia="Times New Roman" w:hAnsi="Times New Roman" w:cs="Times New Roman"/>
          <w:color w:val="000000" w:themeColor="text1"/>
        </w:rPr>
        <w:t xml:space="preserve">A class action lawsuit is a type of lawsuit in which one or some members within a party files a lawsuit on behalf a group of people. </w:t>
      </w:r>
      <w:r w:rsidR="00C725D7" w:rsidRPr="00D31A97">
        <w:rPr>
          <w:rFonts w:ascii="Times New Roman" w:eastAsia="Times New Roman" w:hAnsi="Times New Roman" w:cs="Times New Roman"/>
          <w:color w:val="000000" w:themeColor="text1"/>
        </w:rPr>
        <w:t>Today, o</w:t>
      </w:r>
      <w:r w:rsidR="00EA26D5" w:rsidRPr="00D31A97">
        <w:rPr>
          <w:rFonts w:ascii="Times New Roman" w:eastAsia="Times New Roman" w:hAnsi="Times New Roman" w:cs="Times New Roman"/>
          <w:color w:val="000000" w:themeColor="text1"/>
        </w:rPr>
        <w:t>ver 40% of employers who mandate arbitration also prohibit class actions (Bickerman</w:t>
      </w:r>
      <w:r w:rsidR="009A535A" w:rsidRPr="00D31A97">
        <w:rPr>
          <w:rFonts w:ascii="Times New Roman" w:eastAsia="Times New Roman" w:hAnsi="Times New Roman" w:cs="Times New Roman"/>
          <w:color w:val="000000" w:themeColor="text1"/>
        </w:rPr>
        <w:t>,</w:t>
      </w:r>
      <w:r w:rsidR="00EA26D5" w:rsidRPr="00D31A97">
        <w:rPr>
          <w:rFonts w:ascii="Times New Roman" w:eastAsia="Times New Roman" w:hAnsi="Times New Roman" w:cs="Times New Roman"/>
          <w:color w:val="000000" w:themeColor="text1"/>
        </w:rPr>
        <w:t xml:space="preserve"> 2020). The two now </w:t>
      </w:r>
      <w:r w:rsidR="00C725D7" w:rsidRPr="00D31A97">
        <w:rPr>
          <w:rFonts w:ascii="Times New Roman" w:eastAsia="Times New Roman" w:hAnsi="Times New Roman" w:cs="Times New Roman"/>
          <w:color w:val="000000" w:themeColor="text1"/>
        </w:rPr>
        <w:t>commonly go hand-in-hand within</w:t>
      </w:r>
      <w:r w:rsidR="00EA26D5" w:rsidRPr="00D31A97">
        <w:rPr>
          <w:rFonts w:ascii="Times New Roman" w:eastAsia="Times New Roman" w:hAnsi="Times New Roman" w:cs="Times New Roman"/>
          <w:color w:val="000000" w:themeColor="text1"/>
        </w:rPr>
        <w:t xml:space="preserve"> employment </w:t>
      </w:r>
      <w:r w:rsidR="009E7648" w:rsidRPr="00D31A97">
        <w:rPr>
          <w:rFonts w:ascii="Times New Roman" w:eastAsia="Times New Roman" w:hAnsi="Times New Roman" w:cs="Times New Roman"/>
          <w:color w:val="000000" w:themeColor="text1"/>
        </w:rPr>
        <w:t>contracts</w:t>
      </w:r>
      <w:r w:rsidR="00EA26D5" w:rsidRPr="00D31A97">
        <w:rPr>
          <w:rFonts w:ascii="Times New Roman" w:eastAsia="Times New Roman" w:hAnsi="Times New Roman" w:cs="Times New Roman"/>
          <w:color w:val="000000" w:themeColor="text1"/>
        </w:rPr>
        <w:t xml:space="preserve">. </w:t>
      </w:r>
      <w:r w:rsidR="00C725D7" w:rsidRPr="00D31A97">
        <w:rPr>
          <w:rFonts w:ascii="Times New Roman" w:eastAsia="Times New Roman" w:hAnsi="Times New Roman" w:cs="Times New Roman"/>
          <w:color w:val="000000" w:themeColor="text1"/>
        </w:rPr>
        <w:t>An arbitration agreement will usually include a clause forbidding class action</w:t>
      </w:r>
      <w:r w:rsidR="008236D5" w:rsidRPr="00D31A97">
        <w:rPr>
          <w:rFonts w:ascii="Times New Roman" w:eastAsia="Times New Roman" w:hAnsi="Times New Roman" w:cs="Times New Roman"/>
          <w:color w:val="000000" w:themeColor="text1"/>
        </w:rPr>
        <w:t xml:space="preserve"> in employment contracts</w:t>
      </w:r>
      <w:r w:rsidR="00C725D7" w:rsidRPr="00D31A97">
        <w:rPr>
          <w:rFonts w:ascii="Times New Roman" w:eastAsia="Times New Roman" w:hAnsi="Times New Roman" w:cs="Times New Roman"/>
          <w:color w:val="000000" w:themeColor="text1"/>
        </w:rPr>
        <w:t xml:space="preserve">. </w:t>
      </w:r>
    </w:p>
    <w:p w14:paraId="6FAD0555" w14:textId="427B0A50" w:rsidR="00C34367" w:rsidRPr="00D31A97" w:rsidRDefault="00C71156"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The cases of </w:t>
      </w:r>
      <w:r w:rsidRPr="00D31A97">
        <w:rPr>
          <w:rFonts w:ascii="Times New Roman" w:eastAsia="Times New Roman" w:hAnsi="Times New Roman" w:cs="Times New Roman"/>
          <w:i/>
          <w:iCs/>
          <w:color w:val="000000" w:themeColor="text1"/>
        </w:rPr>
        <w:t>AT&amp;T Mobility LLC v. Conception (2011)</w:t>
      </w:r>
      <w:r w:rsidRPr="00D31A97">
        <w:rPr>
          <w:rFonts w:ascii="Times New Roman" w:eastAsia="Times New Roman" w:hAnsi="Times New Roman" w:cs="Times New Roman"/>
          <w:color w:val="000000" w:themeColor="text1"/>
        </w:rPr>
        <w:t xml:space="preserve"> and </w:t>
      </w:r>
      <w:r w:rsidRPr="00D31A97">
        <w:rPr>
          <w:rFonts w:ascii="Times New Roman" w:eastAsia="Times New Roman" w:hAnsi="Times New Roman" w:cs="Times New Roman"/>
          <w:i/>
          <w:iCs/>
          <w:color w:val="000000" w:themeColor="text1"/>
        </w:rPr>
        <w:t>American Express Co. v. Italian Colors Restaurant (2013)</w:t>
      </w:r>
      <w:r w:rsidRPr="00D31A97">
        <w:rPr>
          <w:rFonts w:ascii="Times New Roman" w:eastAsia="Times New Roman" w:hAnsi="Times New Roman" w:cs="Times New Roman"/>
          <w:color w:val="000000" w:themeColor="text1"/>
        </w:rPr>
        <w:t xml:space="preserve"> </w:t>
      </w:r>
      <w:r w:rsidR="00021979" w:rsidRPr="00D31A97">
        <w:rPr>
          <w:rFonts w:ascii="Times New Roman" w:eastAsia="Times New Roman" w:hAnsi="Times New Roman" w:cs="Times New Roman"/>
          <w:color w:val="000000" w:themeColor="text1"/>
        </w:rPr>
        <w:t xml:space="preserve">strengthened arbitration agreements. </w:t>
      </w:r>
      <w:r w:rsidR="00C34367" w:rsidRPr="00D31A97">
        <w:rPr>
          <w:rFonts w:ascii="Times New Roman" w:eastAsia="Times New Roman" w:hAnsi="Times New Roman" w:cs="Times New Roman"/>
          <w:color w:val="000000" w:themeColor="text1"/>
        </w:rPr>
        <w:t xml:space="preserve">The 2011 decision defined that the Federal Arbitration Act (FAA) that provides judicial facilitation of private dispute through arbitration also preempts state law, allowing companies to prevent class action within </w:t>
      </w:r>
      <w:r w:rsidR="00C34367" w:rsidRPr="00D31A97">
        <w:rPr>
          <w:rFonts w:ascii="Times New Roman" w:eastAsia="Times New Roman" w:hAnsi="Times New Roman" w:cs="Times New Roman"/>
          <w:color w:val="000000" w:themeColor="text1"/>
        </w:rPr>
        <w:lastRenderedPageBreak/>
        <w:t>their arbitration agreements. The 2013 decision further upheld that FAA does not prevent employers from enforcing arbitration clauses regardless of the cost.</w:t>
      </w:r>
      <w:r w:rsidR="00021979" w:rsidRPr="00D31A97">
        <w:rPr>
          <w:rFonts w:ascii="Times New Roman" w:eastAsia="Times New Roman" w:hAnsi="Times New Roman" w:cs="Times New Roman"/>
          <w:color w:val="000000" w:themeColor="text1"/>
        </w:rPr>
        <w:t xml:space="preserve"> These cases skyrocketed the use of arbitration.</w:t>
      </w:r>
      <w:r w:rsidR="00C34367" w:rsidRPr="00D31A97">
        <w:rPr>
          <w:rFonts w:ascii="Times New Roman" w:eastAsia="Times New Roman" w:hAnsi="Times New Roman" w:cs="Times New Roman"/>
          <w:color w:val="000000" w:themeColor="text1"/>
        </w:rPr>
        <w:t xml:space="preserve"> Similarly, the latest 2018 decision defined that the FAA’s saving clause and the National Labor Relations Act (NLRA), which protects the rights of employees and employers, encouraging collective bargaining to prevent harm from private sector labor and management practices, cannot prevent individualized arbitration from being enforced.</w:t>
      </w:r>
      <w:r w:rsidR="009E7648" w:rsidRPr="00D31A97">
        <w:rPr>
          <w:rFonts w:ascii="Times New Roman" w:eastAsia="Times New Roman" w:hAnsi="Times New Roman" w:cs="Times New Roman"/>
          <w:color w:val="000000" w:themeColor="text1"/>
        </w:rPr>
        <w:t xml:space="preserve"> These cases upheld the use of mandatory arbitration and added an extra protection from class action claims for employers.</w:t>
      </w:r>
    </w:p>
    <w:p w14:paraId="6D3804D1" w14:textId="13E1BCA0" w:rsidR="00707950" w:rsidRPr="00D31A97" w:rsidRDefault="009E7648"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Today,</w:t>
      </w:r>
      <w:r w:rsidR="00C71156" w:rsidRPr="00D31A97">
        <w:rPr>
          <w:rFonts w:ascii="Times New Roman" w:eastAsia="Times New Roman" w:hAnsi="Times New Roman" w:cs="Times New Roman"/>
          <w:color w:val="000000" w:themeColor="text1"/>
        </w:rPr>
        <w:t xml:space="preserve"> 60.1 million American workers cannot protect their legal employments rights in court anymore and instead must turn to arbitration, which research supports overwhelmingly favors employers (</w:t>
      </w:r>
      <w:r w:rsidR="004512C6" w:rsidRPr="00D31A97">
        <w:rPr>
          <w:rFonts w:ascii="Times New Roman" w:eastAsia="Times New Roman" w:hAnsi="Times New Roman" w:cs="Times New Roman"/>
          <w:color w:val="000000" w:themeColor="text1"/>
        </w:rPr>
        <w:t>Wesson</w:t>
      </w:r>
      <w:r w:rsidR="00C71156" w:rsidRPr="00D31A97">
        <w:rPr>
          <w:rFonts w:ascii="Times New Roman" w:eastAsia="Times New Roman" w:hAnsi="Times New Roman" w:cs="Times New Roman"/>
          <w:color w:val="000000" w:themeColor="text1"/>
        </w:rPr>
        <w:t xml:space="preserve">, </w:t>
      </w:r>
      <w:r w:rsidR="004512C6" w:rsidRPr="00D31A97">
        <w:rPr>
          <w:rFonts w:ascii="Times New Roman" w:eastAsia="Times New Roman" w:hAnsi="Times New Roman" w:cs="Times New Roman"/>
          <w:color w:val="000000" w:themeColor="text1"/>
        </w:rPr>
        <w:t>2020</w:t>
      </w:r>
      <w:r w:rsidR="00C71156" w:rsidRPr="00D31A97">
        <w:rPr>
          <w:rFonts w:ascii="Times New Roman" w:eastAsia="Times New Roman" w:hAnsi="Times New Roman" w:cs="Times New Roman"/>
          <w:color w:val="000000" w:themeColor="text1"/>
        </w:rPr>
        <w:t>). This comes as no surprise since employers get to define the arbitration procedures and providers. Overtime, the Court has shifted the balance of power toward companies and employers</w:t>
      </w:r>
      <w:r w:rsidRPr="00D31A97">
        <w:rPr>
          <w:rFonts w:ascii="Times New Roman" w:eastAsia="Times New Roman" w:hAnsi="Times New Roman" w:cs="Times New Roman"/>
          <w:color w:val="000000" w:themeColor="text1"/>
        </w:rPr>
        <w:t>.</w:t>
      </w:r>
    </w:p>
    <w:p w14:paraId="07F3D89B" w14:textId="0F11F7D6" w:rsidR="000A5D1A" w:rsidRPr="00D31A97" w:rsidRDefault="000A5D1A" w:rsidP="00EA7E4D">
      <w:pPr>
        <w:spacing w:line="480" w:lineRule="auto"/>
        <w:contextualSpacing/>
        <w:rPr>
          <w:rFonts w:ascii="Times New Roman" w:eastAsia="Times New Roman" w:hAnsi="Times New Roman" w:cs="Times New Roman"/>
          <w:b/>
          <w:bCs/>
          <w:i/>
          <w:iCs/>
          <w:color w:val="000000" w:themeColor="text1"/>
        </w:rPr>
      </w:pPr>
      <w:r w:rsidRPr="00D31A97">
        <w:rPr>
          <w:rFonts w:ascii="Times New Roman" w:eastAsia="Times New Roman" w:hAnsi="Times New Roman" w:cs="Times New Roman"/>
          <w:b/>
          <w:bCs/>
          <w:i/>
          <w:iCs/>
          <w:color w:val="000000" w:themeColor="text1"/>
        </w:rPr>
        <w:t>AT&amp;T Mobility LLC v. Conception (2011)</w:t>
      </w:r>
      <w:r w:rsidR="009543B9" w:rsidRPr="00D31A97">
        <w:rPr>
          <w:rFonts w:ascii="Times New Roman" w:eastAsia="Times New Roman" w:hAnsi="Times New Roman" w:cs="Times New Roman"/>
          <w:b/>
          <w:bCs/>
          <w:i/>
          <w:iCs/>
          <w:color w:val="000000" w:themeColor="text1"/>
        </w:rPr>
        <w:t xml:space="preserve">: </w:t>
      </w:r>
      <w:r w:rsidR="00E23684" w:rsidRPr="00D31A97">
        <w:rPr>
          <w:rFonts w:ascii="Times New Roman" w:eastAsia="Times New Roman" w:hAnsi="Times New Roman" w:cs="Times New Roman"/>
          <w:b/>
          <w:bCs/>
          <w:i/>
          <w:iCs/>
          <w:color w:val="000000" w:themeColor="text1"/>
        </w:rPr>
        <w:t>FAA Preempts State Law</w:t>
      </w:r>
    </w:p>
    <w:p w14:paraId="36C33F2E" w14:textId="59819E37" w:rsidR="000A5D1A" w:rsidRPr="00D31A97" w:rsidRDefault="00A06267" w:rsidP="00EA7E4D">
      <w:pPr>
        <w:spacing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On April 27</w:t>
      </w:r>
      <w:r w:rsidRPr="00D31A97">
        <w:rPr>
          <w:rFonts w:ascii="Times New Roman" w:eastAsia="Times New Roman" w:hAnsi="Times New Roman" w:cs="Times New Roman"/>
          <w:color w:val="000000" w:themeColor="text1"/>
          <w:vertAlign w:val="superscript"/>
        </w:rPr>
        <w:t>th</w:t>
      </w:r>
      <w:r w:rsidRPr="00D31A97">
        <w:rPr>
          <w:rFonts w:ascii="Times New Roman" w:eastAsia="Times New Roman" w:hAnsi="Times New Roman" w:cs="Times New Roman"/>
          <w:color w:val="000000" w:themeColor="text1"/>
        </w:rPr>
        <w:t>, 2011, the Supreme Court ruled 5-4 that the Federal Arbitration Act (FAA) preempts California contract law related to arbitration agreements, enforcing that arbitrations on a class-action basis goes against Congress’ legislative intent.</w:t>
      </w:r>
      <w:r w:rsidR="009543B9" w:rsidRPr="00D31A97">
        <w:rPr>
          <w:rFonts w:ascii="Times New Roman" w:eastAsia="Times New Roman" w:hAnsi="Times New Roman" w:cs="Times New Roman"/>
          <w:color w:val="000000" w:themeColor="text1"/>
        </w:rPr>
        <w:t xml:space="preserve"> </w:t>
      </w:r>
      <w:r w:rsidR="000A5D1A" w:rsidRPr="00D31A97">
        <w:rPr>
          <w:rFonts w:ascii="Times New Roman" w:eastAsia="Times New Roman" w:hAnsi="Times New Roman" w:cs="Times New Roman"/>
          <w:color w:val="000000" w:themeColor="text1"/>
        </w:rPr>
        <w:t xml:space="preserve">AT&amp;T customers filed a class action lawsuit against the company on the basis that the company’s offer of a free phone to any customer who signed up was fraudulent </w:t>
      </w:r>
      <w:r w:rsidRPr="00D31A97">
        <w:rPr>
          <w:rFonts w:ascii="Times New Roman" w:eastAsia="Times New Roman" w:hAnsi="Times New Roman" w:cs="Times New Roman"/>
          <w:color w:val="000000" w:themeColor="text1"/>
        </w:rPr>
        <w:t xml:space="preserve">since AT&amp;T charged sales tax on the retail value of each free phone. AT&amp;T moved to compel arbitration based on their clause within the contract of service. The California federal district court denied the motion. On appeal, the US Court of Appeals for the Ninth Circuit held that the clause was unconscionable and unenforceable under </w:t>
      </w:r>
      <w:r w:rsidRPr="00D31A97">
        <w:rPr>
          <w:rFonts w:ascii="Times New Roman" w:eastAsia="Times New Roman" w:hAnsi="Times New Roman" w:cs="Times New Roman"/>
          <w:color w:val="000000" w:themeColor="text1"/>
        </w:rPr>
        <w:lastRenderedPageBreak/>
        <w:t>California law and the Federal Arbitration Act (FAA) did not express nor imply preemption from California law governing unconscionability.</w:t>
      </w:r>
    </w:p>
    <w:p w14:paraId="3FDAA7C0" w14:textId="731BD5B9" w:rsidR="000A5D1A" w:rsidRPr="00D31A97" w:rsidRDefault="00A06267" w:rsidP="00EA7E4D">
      <w:pPr>
        <w:spacing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The Supreme Court reversed the lower court’s decision and held that the FAA preempts “state-law rules that stand as an obstacle to the accomplishment of the FAA’s objectives.” </w:t>
      </w:r>
    </w:p>
    <w:p w14:paraId="0DE31372" w14:textId="6DF6479E" w:rsidR="001A63EB" w:rsidRPr="00D31A97" w:rsidRDefault="001A63EB" w:rsidP="00EA7E4D">
      <w:pPr>
        <w:spacing w:line="480" w:lineRule="auto"/>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Justice Stephen Breyer dissented with others claiming that the Court should not state that the federal act preempts the rule of state law. </w:t>
      </w:r>
    </w:p>
    <w:p w14:paraId="1C2671C9" w14:textId="19DC50FC" w:rsidR="00707950" w:rsidRPr="00D31A97" w:rsidRDefault="00021979" w:rsidP="00021979">
      <w:pPr>
        <w:spacing w:line="480" w:lineRule="auto"/>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ab/>
        <w:t xml:space="preserve">Although this case did not directly involve employees, it involved big </w:t>
      </w:r>
      <w:r w:rsidR="001202F3" w:rsidRPr="00D31A97">
        <w:rPr>
          <w:rFonts w:ascii="Times New Roman" w:eastAsia="Times New Roman" w:hAnsi="Times New Roman" w:cs="Times New Roman"/>
          <w:color w:val="000000" w:themeColor="text1"/>
        </w:rPr>
        <w:t>companies that are also large employers</w:t>
      </w:r>
      <w:r w:rsidR="002C2950" w:rsidRPr="00D31A97">
        <w:rPr>
          <w:rFonts w:ascii="Times New Roman" w:eastAsia="Times New Roman" w:hAnsi="Times New Roman" w:cs="Times New Roman"/>
          <w:color w:val="000000" w:themeColor="text1"/>
        </w:rPr>
        <w:t xml:space="preserve">, enforcing and encouraging the arbitration agreements. </w:t>
      </w:r>
      <w:r w:rsidR="00FF1256" w:rsidRPr="00D31A97">
        <w:rPr>
          <w:rFonts w:ascii="Times New Roman" w:eastAsia="Times New Roman" w:hAnsi="Times New Roman" w:cs="Times New Roman"/>
          <w:color w:val="000000" w:themeColor="text1"/>
        </w:rPr>
        <w:t xml:space="preserve">This case encouraged the use of arbitration disregarding </w:t>
      </w:r>
      <w:r w:rsidR="00FF1256" w:rsidRPr="00D31A97">
        <w:rPr>
          <w:rFonts w:ascii="Times New Roman" w:eastAsia="Times New Roman" w:hAnsi="Times New Roman" w:cs="Times New Roman"/>
          <w:color w:val="000000" w:themeColor="text1"/>
        </w:rPr>
        <w:t>unconscionability</w:t>
      </w:r>
      <w:r w:rsidR="00FF1256" w:rsidRPr="00D31A97">
        <w:rPr>
          <w:rFonts w:ascii="Times New Roman" w:eastAsia="Times New Roman" w:hAnsi="Times New Roman" w:cs="Times New Roman"/>
          <w:color w:val="000000" w:themeColor="text1"/>
        </w:rPr>
        <w:t xml:space="preserve"> and preventing states from balancing this power. </w:t>
      </w:r>
    </w:p>
    <w:p w14:paraId="1F4647CA" w14:textId="5A627DD7" w:rsidR="00A06267" w:rsidRPr="00D31A97" w:rsidRDefault="00A06267" w:rsidP="00EA7E4D">
      <w:pPr>
        <w:spacing w:line="480" w:lineRule="auto"/>
        <w:contextualSpacing/>
        <w:rPr>
          <w:rFonts w:ascii="Times New Roman" w:eastAsia="Times New Roman" w:hAnsi="Times New Roman" w:cs="Times New Roman"/>
          <w:b/>
          <w:bCs/>
          <w:i/>
          <w:iCs/>
          <w:color w:val="000000" w:themeColor="text1"/>
        </w:rPr>
      </w:pPr>
      <w:r w:rsidRPr="00D31A97">
        <w:rPr>
          <w:rFonts w:ascii="Times New Roman" w:eastAsia="Times New Roman" w:hAnsi="Times New Roman" w:cs="Times New Roman"/>
          <w:b/>
          <w:bCs/>
          <w:i/>
          <w:iCs/>
          <w:color w:val="000000" w:themeColor="text1"/>
        </w:rPr>
        <w:t>American Express Co</w:t>
      </w:r>
      <w:r w:rsidR="001A63EB" w:rsidRPr="00D31A97">
        <w:rPr>
          <w:rFonts w:ascii="Times New Roman" w:eastAsia="Times New Roman" w:hAnsi="Times New Roman" w:cs="Times New Roman"/>
          <w:b/>
          <w:bCs/>
          <w:i/>
          <w:iCs/>
          <w:color w:val="000000" w:themeColor="text1"/>
        </w:rPr>
        <w:t>., et al.</w:t>
      </w:r>
      <w:r w:rsidRPr="00D31A97">
        <w:rPr>
          <w:rFonts w:ascii="Times New Roman" w:eastAsia="Times New Roman" w:hAnsi="Times New Roman" w:cs="Times New Roman"/>
          <w:b/>
          <w:bCs/>
          <w:i/>
          <w:iCs/>
          <w:color w:val="000000" w:themeColor="text1"/>
        </w:rPr>
        <w:t xml:space="preserve"> v. Italian Colors Restaurant (2013)</w:t>
      </w:r>
      <w:r w:rsidR="009543B9" w:rsidRPr="00D31A97">
        <w:rPr>
          <w:rFonts w:ascii="Times New Roman" w:eastAsia="Times New Roman" w:hAnsi="Times New Roman" w:cs="Times New Roman"/>
          <w:b/>
          <w:bCs/>
          <w:i/>
          <w:iCs/>
          <w:color w:val="000000" w:themeColor="text1"/>
        </w:rPr>
        <w:t>:</w:t>
      </w:r>
      <w:r w:rsidR="00CA32CD" w:rsidRPr="00D31A97">
        <w:rPr>
          <w:rFonts w:ascii="Times New Roman" w:eastAsia="Times New Roman" w:hAnsi="Times New Roman" w:cs="Times New Roman"/>
          <w:b/>
          <w:bCs/>
          <w:i/>
          <w:iCs/>
          <w:color w:val="000000" w:themeColor="text1"/>
        </w:rPr>
        <w:t xml:space="preserve"> Arbitration Costs Can Be High</w:t>
      </w:r>
    </w:p>
    <w:p w14:paraId="20F14BBD" w14:textId="75A72A34" w:rsidR="00707950" w:rsidRPr="00D31A97" w:rsidRDefault="001A63EB" w:rsidP="00EA7E4D">
      <w:pPr>
        <w:spacing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On June 20</w:t>
      </w:r>
      <w:r w:rsidRPr="00D31A97">
        <w:rPr>
          <w:rFonts w:ascii="Times New Roman" w:eastAsia="Times New Roman" w:hAnsi="Times New Roman" w:cs="Times New Roman"/>
          <w:color w:val="000000" w:themeColor="text1"/>
          <w:vertAlign w:val="superscript"/>
        </w:rPr>
        <w:t>th</w:t>
      </w:r>
      <w:r w:rsidRPr="00D31A97">
        <w:rPr>
          <w:rFonts w:ascii="Times New Roman" w:eastAsia="Times New Roman" w:hAnsi="Times New Roman" w:cs="Times New Roman"/>
          <w:color w:val="000000" w:themeColor="text1"/>
        </w:rPr>
        <w:t xml:space="preserve">, 2013, the </w:t>
      </w:r>
      <w:r w:rsidR="00CA32CD" w:rsidRPr="00D31A97">
        <w:rPr>
          <w:rFonts w:ascii="Times New Roman" w:eastAsia="Times New Roman" w:hAnsi="Times New Roman" w:cs="Times New Roman"/>
          <w:color w:val="000000" w:themeColor="text1"/>
        </w:rPr>
        <w:t xml:space="preserve">Supreme </w:t>
      </w:r>
      <w:r w:rsidRPr="00D31A97">
        <w:rPr>
          <w:rFonts w:ascii="Times New Roman" w:eastAsia="Times New Roman" w:hAnsi="Times New Roman" w:cs="Times New Roman"/>
          <w:color w:val="000000" w:themeColor="text1"/>
        </w:rPr>
        <w:t>Court</w:t>
      </w:r>
      <w:r w:rsidR="00CA32CD" w:rsidRPr="00D31A97">
        <w:rPr>
          <w:rFonts w:ascii="Times New Roman" w:eastAsia="Times New Roman" w:hAnsi="Times New Roman" w:cs="Times New Roman"/>
          <w:color w:val="000000" w:themeColor="text1"/>
        </w:rPr>
        <w:t xml:space="preserve"> rules 5-3 that </w:t>
      </w:r>
      <w:r w:rsidR="00FF1256" w:rsidRPr="00D31A97">
        <w:rPr>
          <w:rFonts w:ascii="Times New Roman" w:eastAsia="Times New Roman" w:hAnsi="Times New Roman" w:cs="Times New Roman"/>
          <w:color w:val="000000" w:themeColor="text1"/>
        </w:rPr>
        <w:t>arbitration could be enforced regardless of the cost.</w:t>
      </w:r>
    </w:p>
    <w:p w14:paraId="70BE0275" w14:textId="5F4D8C5F" w:rsidR="0032776B" w:rsidRPr="00D31A97" w:rsidRDefault="0032776B" w:rsidP="00EA7E4D">
      <w:pPr>
        <w:spacing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Italian Colors Restaurant and several merchants filed a lawsuit against American Express Company on the basis that the Card Acceptance Agreement violated U.S. antitrust laws. American expressed moved to dismiss and compel arbitration. The Southern NY district court enforced the arbitration clause and dismissed the case. </w:t>
      </w:r>
      <w:r w:rsidR="00CA7DDF" w:rsidRPr="00D31A97">
        <w:rPr>
          <w:rFonts w:ascii="Times New Roman" w:eastAsia="Times New Roman" w:hAnsi="Times New Roman" w:cs="Times New Roman"/>
          <w:color w:val="000000" w:themeColor="text1"/>
        </w:rPr>
        <w:t xml:space="preserve">The Court of Appeals for the Secord Circuit held that the arbitration clause, specifically the class action waiver, cannot be </w:t>
      </w:r>
      <w:r w:rsidR="00CA32CD" w:rsidRPr="00D31A97">
        <w:rPr>
          <w:rFonts w:ascii="Times New Roman" w:eastAsia="Times New Roman" w:hAnsi="Times New Roman" w:cs="Times New Roman"/>
          <w:color w:val="000000" w:themeColor="text1"/>
        </w:rPr>
        <w:t xml:space="preserve">enforced because it would protect American Express from antitrust suits. The Supreme Court remanded it back to the lower court, but the appellate court still found the class action waiver unenforceable. </w:t>
      </w:r>
    </w:p>
    <w:p w14:paraId="564F815C" w14:textId="569B1F8F" w:rsidR="00CA32CD" w:rsidRPr="00D31A97" w:rsidRDefault="00CA32CD" w:rsidP="00EA7E4D">
      <w:pPr>
        <w:spacing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The Court held that the high cost of arbitration </w:t>
      </w:r>
      <w:r w:rsidR="009D1601" w:rsidRPr="00D31A97">
        <w:rPr>
          <w:rFonts w:ascii="Times New Roman" w:eastAsia="Times New Roman" w:hAnsi="Times New Roman" w:cs="Times New Roman"/>
          <w:color w:val="000000" w:themeColor="text1"/>
        </w:rPr>
        <w:t xml:space="preserve">is not sufficient to overrule an arbitration clause that prohibits class action suits. </w:t>
      </w:r>
      <w:r w:rsidR="00D830F4" w:rsidRPr="00D31A97">
        <w:rPr>
          <w:rFonts w:ascii="Times New Roman" w:eastAsia="Times New Roman" w:hAnsi="Times New Roman" w:cs="Times New Roman"/>
          <w:color w:val="000000" w:themeColor="text1"/>
        </w:rPr>
        <w:t>Justice Anton Scalia delivered that f</w:t>
      </w:r>
      <w:r w:rsidR="009D1601" w:rsidRPr="00D31A97">
        <w:rPr>
          <w:rFonts w:ascii="Times New Roman" w:eastAsia="Times New Roman" w:hAnsi="Times New Roman" w:cs="Times New Roman"/>
          <w:color w:val="000000" w:themeColor="text1"/>
        </w:rPr>
        <w:t xml:space="preserve">ederal law does not </w:t>
      </w:r>
      <w:r w:rsidR="009D1601" w:rsidRPr="00D31A97">
        <w:rPr>
          <w:rFonts w:ascii="Times New Roman" w:eastAsia="Times New Roman" w:hAnsi="Times New Roman" w:cs="Times New Roman"/>
          <w:color w:val="000000" w:themeColor="text1"/>
        </w:rPr>
        <w:lastRenderedPageBreak/>
        <w:t>guarantee affordability and that the right to pursue a stat</w:t>
      </w:r>
      <w:r w:rsidR="00D830F4" w:rsidRPr="00D31A97">
        <w:rPr>
          <w:rFonts w:ascii="Times New Roman" w:eastAsia="Times New Roman" w:hAnsi="Times New Roman" w:cs="Times New Roman"/>
          <w:color w:val="000000" w:themeColor="text1"/>
        </w:rPr>
        <w:t>utory</w:t>
      </w:r>
      <w:r w:rsidR="009D1601" w:rsidRPr="00D31A97">
        <w:rPr>
          <w:rFonts w:ascii="Times New Roman" w:eastAsia="Times New Roman" w:hAnsi="Times New Roman" w:cs="Times New Roman"/>
          <w:color w:val="000000" w:themeColor="text1"/>
        </w:rPr>
        <w:t xml:space="preserve"> remedy </w:t>
      </w:r>
      <w:r w:rsidR="00D830F4" w:rsidRPr="00D31A97">
        <w:rPr>
          <w:rFonts w:ascii="Times New Roman" w:eastAsia="Times New Roman" w:hAnsi="Times New Roman" w:cs="Times New Roman"/>
          <w:color w:val="000000" w:themeColor="text1"/>
        </w:rPr>
        <w:t>is not</w:t>
      </w:r>
      <w:r w:rsidR="009D1601" w:rsidRPr="00D31A97">
        <w:rPr>
          <w:rFonts w:ascii="Times New Roman" w:eastAsia="Times New Roman" w:hAnsi="Times New Roman" w:cs="Times New Roman"/>
          <w:color w:val="000000" w:themeColor="text1"/>
        </w:rPr>
        <w:t xml:space="preserve"> negated </w:t>
      </w:r>
      <w:r w:rsidR="00D830F4" w:rsidRPr="00D31A97">
        <w:rPr>
          <w:rFonts w:ascii="Times New Roman" w:eastAsia="Times New Roman" w:hAnsi="Times New Roman" w:cs="Times New Roman"/>
          <w:color w:val="000000" w:themeColor="text1"/>
        </w:rPr>
        <w:t xml:space="preserve">simply because individual arbitration is more expensive than they are worth. </w:t>
      </w:r>
    </w:p>
    <w:p w14:paraId="18168805" w14:textId="45DCC294" w:rsidR="00D830F4" w:rsidRPr="00D31A97" w:rsidRDefault="00D830F4" w:rsidP="00EA7E4D">
      <w:pPr>
        <w:spacing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Justice Elena Kagan dissented claiming that the purpose of the FAA is to resolve disputes and facilitate compensation of injuries.</w:t>
      </w:r>
      <w:r w:rsidR="00644B58" w:rsidRPr="00D31A97">
        <w:rPr>
          <w:rFonts w:ascii="Times New Roman" w:eastAsia="Times New Roman" w:hAnsi="Times New Roman" w:cs="Times New Roman"/>
          <w:color w:val="000000" w:themeColor="text1"/>
        </w:rPr>
        <w:t xml:space="preserve"> Others joined the dissent on the basis that the arbitration clause in the American Express form contract counters the purpose of the FAA since it </w:t>
      </w:r>
      <w:r w:rsidR="00521917" w:rsidRPr="00D31A97">
        <w:rPr>
          <w:rFonts w:ascii="Times New Roman" w:eastAsia="Times New Roman" w:hAnsi="Times New Roman" w:cs="Times New Roman"/>
          <w:color w:val="000000" w:themeColor="text1"/>
        </w:rPr>
        <w:t>makes them immune from potential federal claims. The dissenting opinion also claimed that it violates the Sherman Act since it prevents parties from challenging allegedly monopolistic conduct.</w:t>
      </w:r>
    </w:p>
    <w:p w14:paraId="412171A5" w14:textId="7CE4952B" w:rsidR="00521917" w:rsidRPr="00D31A97" w:rsidRDefault="00B05A85" w:rsidP="00EA7E4D">
      <w:pPr>
        <w:spacing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This case enforced arbitration agreements while </w:t>
      </w:r>
      <w:r w:rsidR="009340E3" w:rsidRPr="00D31A97">
        <w:rPr>
          <w:rFonts w:ascii="Times New Roman" w:eastAsia="Times New Roman" w:hAnsi="Times New Roman" w:cs="Times New Roman"/>
          <w:color w:val="000000" w:themeColor="text1"/>
        </w:rPr>
        <w:t xml:space="preserve">ignoring the purpose of the FAA. The </w:t>
      </w:r>
      <w:r w:rsidR="009340E3" w:rsidRPr="00D31A97">
        <w:rPr>
          <w:rFonts w:ascii="Times New Roman" w:eastAsia="Times New Roman" w:hAnsi="Times New Roman" w:cs="Times New Roman"/>
          <w:color w:val="000000" w:themeColor="text1"/>
        </w:rPr>
        <w:t xml:space="preserve">arbitration enforced defeats </w:t>
      </w:r>
      <w:r w:rsidR="009340E3" w:rsidRPr="00D31A97">
        <w:rPr>
          <w:rFonts w:ascii="Times New Roman" w:eastAsia="Times New Roman" w:hAnsi="Times New Roman" w:cs="Times New Roman"/>
          <w:color w:val="000000" w:themeColor="text1"/>
        </w:rPr>
        <w:t xml:space="preserve">FAA’s purpose is to facilitate compensation. Employees will be discouraged from getting compensation if the arbitration costs are more expensive than what the result would render. This topped off with arbitration favoring employees discourages employees from defending their rights and largely protects employers from accountability. </w:t>
      </w:r>
      <w:r w:rsidR="00053C61" w:rsidRPr="00D31A97">
        <w:rPr>
          <w:rFonts w:ascii="Times New Roman" w:eastAsia="Times New Roman" w:hAnsi="Times New Roman" w:cs="Times New Roman"/>
          <w:color w:val="000000" w:themeColor="text1"/>
        </w:rPr>
        <w:t xml:space="preserve">Litigation, on the other hand, would render fairer remedies. </w:t>
      </w:r>
    </w:p>
    <w:p w14:paraId="7821443A" w14:textId="01CB60EA" w:rsidR="00FB776D" w:rsidRPr="00D31A97" w:rsidRDefault="007A6E85" w:rsidP="00EA7E4D">
      <w:pPr>
        <w:spacing w:line="480" w:lineRule="auto"/>
        <w:contextualSpacing/>
        <w:rPr>
          <w:rFonts w:ascii="Times New Roman" w:eastAsia="Times New Roman" w:hAnsi="Times New Roman" w:cs="Times New Roman"/>
          <w:b/>
          <w:bCs/>
          <w:i/>
          <w:iCs/>
          <w:color w:val="000000" w:themeColor="text1"/>
        </w:rPr>
      </w:pPr>
      <w:r w:rsidRPr="00D31A97">
        <w:rPr>
          <w:rFonts w:ascii="Times New Roman" w:eastAsia="Times New Roman" w:hAnsi="Times New Roman" w:cs="Times New Roman"/>
          <w:b/>
          <w:bCs/>
          <w:i/>
          <w:iCs/>
          <w:color w:val="000000" w:themeColor="text1"/>
        </w:rPr>
        <w:t>Epic Systems Corp. v. Lewis (2018)</w:t>
      </w:r>
      <w:r w:rsidR="009543B9" w:rsidRPr="00D31A97">
        <w:rPr>
          <w:rFonts w:ascii="Times New Roman" w:eastAsia="Times New Roman" w:hAnsi="Times New Roman" w:cs="Times New Roman"/>
          <w:b/>
          <w:bCs/>
          <w:i/>
          <w:iCs/>
          <w:color w:val="000000" w:themeColor="text1"/>
        </w:rPr>
        <w:t>:</w:t>
      </w:r>
      <w:r w:rsidR="00CA32CD" w:rsidRPr="00D31A97">
        <w:rPr>
          <w:rFonts w:ascii="Times New Roman" w:eastAsia="Times New Roman" w:hAnsi="Times New Roman" w:cs="Times New Roman"/>
          <w:b/>
          <w:bCs/>
          <w:i/>
          <w:iCs/>
          <w:color w:val="000000" w:themeColor="text1"/>
        </w:rPr>
        <w:t xml:space="preserve"> Employers Can Protect Themselves </w:t>
      </w:r>
      <w:r w:rsidR="00EA7E4D" w:rsidRPr="00D31A97">
        <w:rPr>
          <w:rFonts w:ascii="Times New Roman" w:eastAsia="Times New Roman" w:hAnsi="Times New Roman" w:cs="Times New Roman"/>
          <w:b/>
          <w:bCs/>
          <w:i/>
          <w:iCs/>
          <w:color w:val="000000" w:themeColor="text1"/>
        </w:rPr>
        <w:t>from</w:t>
      </w:r>
      <w:r w:rsidR="00CA32CD" w:rsidRPr="00D31A97">
        <w:rPr>
          <w:rFonts w:ascii="Times New Roman" w:eastAsia="Times New Roman" w:hAnsi="Times New Roman" w:cs="Times New Roman"/>
          <w:b/>
          <w:bCs/>
          <w:i/>
          <w:iCs/>
          <w:color w:val="000000" w:themeColor="text1"/>
        </w:rPr>
        <w:t xml:space="preserve"> Class Action</w:t>
      </w:r>
    </w:p>
    <w:p w14:paraId="0695853C" w14:textId="77777777" w:rsidR="007A6E85" w:rsidRPr="00D31A97" w:rsidRDefault="00FB776D" w:rsidP="00EA7E4D">
      <w:pPr>
        <w:spacing w:line="480" w:lineRule="auto"/>
        <w:ind w:firstLine="720"/>
        <w:contextualSpacing/>
        <w:rPr>
          <w:rFonts w:ascii="Times New Roman" w:hAnsi="Times New Roman" w:cs="Times New Roman"/>
          <w:color w:val="000000" w:themeColor="text1"/>
        </w:rPr>
      </w:pPr>
      <w:r w:rsidRPr="00D31A97">
        <w:rPr>
          <w:rFonts w:ascii="Times New Roman" w:hAnsi="Times New Roman" w:cs="Times New Roman"/>
          <w:color w:val="000000" w:themeColor="text1"/>
        </w:rPr>
        <w:t>On May 21</w:t>
      </w:r>
      <w:r w:rsidRPr="00D31A97">
        <w:rPr>
          <w:rFonts w:ascii="Times New Roman" w:hAnsi="Times New Roman" w:cs="Times New Roman"/>
          <w:color w:val="000000" w:themeColor="text1"/>
          <w:vertAlign w:val="superscript"/>
        </w:rPr>
        <w:t>st</w:t>
      </w:r>
      <w:r w:rsidRPr="00D31A97">
        <w:rPr>
          <w:rFonts w:ascii="Times New Roman" w:hAnsi="Times New Roman" w:cs="Times New Roman"/>
          <w:color w:val="000000" w:themeColor="text1"/>
        </w:rPr>
        <w:t>, 2018, the US Supreme Court ruled 5-4 that employers can require individualized arbitration instead of letting them combine as a group to protest wages</w:t>
      </w:r>
      <w:r w:rsidR="007A6E85" w:rsidRPr="00D31A97">
        <w:rPr>
          <w:rFonts w:ascii="Times New Roman" w:hAnsi="Times New Roman" w:cs="Times New Roman"/>
          <w:color w:val="000000" w:themeColor="text1"/>
        </w:rPr>
        <w:t xml:space="preserve">, </w:t>
      </w:r>
      <w:r w:rsidRPr="00D31A97">
        <w:rPr>
          <w:rFonts w:ascii="Times New Roman" w:hAnsi="Times New Roman" w:cs="Times New Roman"/>
          <w:color w:val="000000" w:themeColor="text1"/>
        </w:rPr>
        <w:t>hour complaints, and more.</w:t>
      </w:r>
    </w:p>
    <w:p w14:paraId="6E086CA0" w14:textId="3D155F1D" w:rsidR="00477AF2" w:rsidRPr="00D31A97" w:rsidRDefault="00477AF2" w:rsidP="00EA7E4D">
      <w:pPr>
        <w:spacing w:line="480" w:lineRule="auto"/>
        <w:ind w:firstLine="720"/>
        <w:contextualSpacing/>
        <w:rPr>
          <w:rFonts w:ascii="Times New Roman" w:hAnsi="Times New Roman" w:cs="Times New Roman"/>
          <w:color w:val="000000" w:themeColor="text1"/>
        </w:rPr>
      </w:pPr>
      <w:r w:rsidRPr="00D31A97">
        <w:rPr>
          <w:rFonts w:ascii="Times New Roman" w:hAnsi="Times New Roman" w:cs="Times New Roman"/>
          <w:color w:val="000000" w:themeColor="text1"/>
        </w:rPr>
        <w:t xml:space="preserve">Epic Systems Corporation is a healthcare data management software company based in Wisconsin which requires its employees to undergo individualized arbitration to resolve any disputes. Employees thus had to waive their right to class action. In February 2015, Jacob Lewis sued in federal court both individually and on behalf of other employees with similar claims within Epic on the basis that their rights had been violated under the Fair Labor Standards Act of 1938. Epic moved to dismiss the complaint claiming that employees </w:t>
      </w:r>
      <w:r w:rsidR="00FC4D47" w:rsidRPr="00D31A97">
        <w:rPr>
          <w:rFonts w:ascii="Times New Roman" w:hAnsi="Times New Roman" w:cs="Times New Roman"/>
          <w:color w:val="000000" w:themeColor="text1"/>
        </w:rPr>
        <w:t xml:space="preserve">had waived their right to </w:t>
      </w:r>
      <w:r w:rsidR="00FC4D47" w:rsidRPr="00D31A97">
        <w:rPr>
          <w:rFonts w:ascii="Times New Roman" w:hAnsi="Times New Roman" w:cs="Times New Roman"/>
          <w:color w:val="000000" w:themeColor="text1"/>
        </w:rPr>
        <w:lastRenderedPageBreak/>
        <w:t xml:space="preserve">class action under their </w:t>
      </w:r>
      <w:r w:rsidRPr="00D31A97">
        <w:rPr>
          <w:rFonts w:ascii="Times New Roman" w:hAnsi="Times New Roman" w:cs="Times New Roman"/>
          <w:color w:val="000000" w:themeColor="text1"/>
        </w:rPr>
        <w:t>arbitration agreement. The district court denied Epic’s motion and held that employees could engage in “concerted activities” under Section Seven of the National Labor Relations Act (NLRA)</w:t>
      </w:r>
      <w:r w:rsidR="00FC4D47" w:rsidRPr="00D31A97">
        <w:rPr>
          <w:rFonts w:ascii="Times New Roman" w:hAnsi="Times New Roman" w:cs="Times New Roman"/>
          <w:color w:val="000000" w:themeColor="text1"/>
        </w:rPr>
        <w:t>.</w:t>
      </w:r>
      <w:r w:rsidRPr="00D31A97">
        <w:rPr>
          <w:rFonts w:ascii="Times New Roman" w:hAnsi="Times New Roman" w:cs="Times New Roman"/>
          <w:color w:val="000000" w:themeColor="text1"/>
        </w:rPr>
        <w:t xml:space="preserve"> </w:t>
      </w:r>
      <w:r w:rsidR="00FC4D47" w:rsidRPr="00D31A97">
        <w:rPr>
          <w:rFonts w:ascii="Times New Roman" w:hAnsi="Times New Roman" w:cs="Times New Roman"/>
          <w:color w:val="000000" w:themeColor="text1"/>
        </w:rPr>
        <w:t>T</w:t>
      </w:r>
      <w:r w:rsidRPr="00D31A97">
        <w:rPr>
          <w:rFonts w:ascii="Times New Roman" w:hAnsi="Times New Roman" w:cs="Times New Roman"/>
          <w:color w:val="000000" w:themeColor="text1"/>
        </w:rPr>
        <w:t>hus</w:t>
      </w:r>
      <w:r w:rsidR="00FC4D47" w:rsidRPr="00D31A97">
        <w:rPr>
          <w:rFonts w:ascii="Times New Roman" w:hAnsi="Times New Roman" w:cs="Times New Roman"/>
          <w:color w:val="000000" w:themeColor="text1"/>
        </w:rPr>
        <w:t>, Epic was</w:t>
      </w:r>
      <w:r w:rsidRPr="00D31A97">
        <w:rPr>
          <w:rFonts w:ascii="Times New Roman" w:hAnsi="Times New Roman" w:cs="Times New Roman"/>
          <w:color w:val="000000" w:themeColor="text1"/>
        </w:rPr>
        <w:t xml:space="preserve"> violating their employees’ rights. </w:t>
      </w:r>
      <w:r w:rsidR="00CA7DDF" w:rsidRPr="00D31A97">
        <w:rPr>
          <w:rFonts w:ascii="Times New Roman" w:hAnsi="Times New Roman" w:cs="Times New Roman"/>
          <w:color w:val="000000" w:themeColor="text1"/>
        </w:rPr>
        <w:t>The</w:t>
      </w:r>
      <w:r w:rsidRPr="00D31A97">
        <w:rPr>
          <w:rFonts w:ascii="Times New Roman" w:hAnsi="Times New Roman" w:cs="Times New Roman"/>
          <w:color w:val="000000" w:themeColor="text1"/>
        </w:rPr>
        <w:t xml:space="preserve"> US Court of Appeals for the Seventh Circuit affirmed the lower court’s decision </w:t>
      </w:r>
      <w:r w:rsidR="00FC4D47" w:rsidRPr="00D31A97">
        <w:rPr>
          <w:rFonts w:ascii="Times New Roman" w:hAnsi="Times New Roman" w:cs="Times New Roman"/>
          <w:color w:val="000000" w:themeColor="text1"/>
        </w:rPr>
        <w:t xml:space="preserve">and reinforced that </w:t>
      </w:r>
      <w:r w:rsidR="00AB7C13" w:rsidRPr="00D31A97">
        <w:rPr>
          <w:rFonts w:ascii="Times New Roman" w:hAnsi="Times New Roman" w:cs="Times New Roman"/>
          <w:color w:val="000000" w:themeColor="text1"/>
        </w:rPr>
        <w:t xml:space="preserve">the savings clause of </w:t>
      </w:r>
      <w:r w:rsidR="00FC4D47" w:rsidRPr="00D31A97">
        <w:rPr>
          <w:rFonts w:ascii="Times New Roman" w:hAnsi="Times New Roman" w:cs="Times New Roman"/>
          <w:color w:val="000000" w:themeColor="text1"/>
        </w:rPr>
        <w:t>the FAA</w:t>
      </w:r>
      <w:r w:rsidR="00AB7C13" w:rsidRPr="00D31A97">
        <w:rPr>
          <w:rFonts w:ascii="Times New Roman" w:hAnsi="Times New Roman" w:cs="Times New Roman"/>
          <w:color w:val="000000" w:themeColor="text1"/>
        </w:rPr>
        <w:t xml:space="preserve"> renders that the arbitration agreement could not be enforced if the</w:t>
      </w:r>
      <w:r w:rsidR="00267369" w:rsidRPr="00D31A97">
        <w:rPr>
          <w:rFonts w:ascii="Times New Roman" w:hAnsi="Times New Roman" w:cs="Times New Roman"/>
          <w:color w:val="000000" w:themeColor="text1"/>
        </w:rPr>
        <w:t xml:space="preserve"> </w:t>
      </w:r>
      <w:r w:rsidR="00B8771F" w:rsidRPr="00D31A97">
        <w:rPr>
          <w:rFonts w:ascii="Times New Roman" w:hAnsi="Times New Roman" w:cs="Times New Roman"/>
          <w:color w:val="000000" w:themeColor="text1"/>
        </w:rPr>
        <w:t>c</w:t>
      </w:r>
      <w:r w:rsidR="00E2522A" w:rsidRPr="00D31A97">
        <w:rPr>
          <w:rFonts w:ascii="Times New Roman" w:hAnsi="Times New Roman" w:cs="Times New Roman"/>
          <w:color w:val="000000" w:themeColor="text1"/>
        </w:rPr>
        <w:t xml:space="preserve">ontract </w:t>
      </w:r>
      <w:r w:rsidR="00B8771F" w:rsidRPr="00D31A97">
        <w:rPr>
          <w:rFonts w:ascii="Times New Roman" w:hAnsi="Times New Roman" w:cs="Times New Roman"/>
          <w:color w:val="000000" w:themeColor="text1"/>
        </w:rPr>
        <w:t>is</w:t>
      </w:r>
      <w:r w:rsidR="00E2522A" w:rsidRPr="00D31A97">
        <w:rPr>
          <w:rFonts w:ascii="Times New Roman" w:hAnsi="Times New Roman" w:cs="Times New Roman"/>
          <w:color w:val="000000" w:themeColor="text1"/>
        </w:rPr>
        <w:t xml:space="preserve"> illegal in the first place. </w:t>
      </w:r>
      <w:r w:rsidR="003D025F" w:rsidRPr="00D31A97">
        <w:rPr>
          <w:rFonts w:ascii="Times New Roman" w:hAnsi="Times New Roman" w:cs="Times New Roman"/>
          <w:color w:val="000000" w:themeColor="text1"/>
        </w:rPr>
        <w:t>The court found that the waiver of collective proceedings was illegal under the NLRA so the arbitration agreement could not be enforced under</w:t>
      </w:r>
      <w:r w:rsidR="00E2522A" w:rsidRPr="00D31A97">
        <w:rPr>
          <w:rFonts w:ascii="Times New Roman" w:hAnsi="Times New Roman" w:cs="Times New Roman"/>
          <w:color w:val="000000" w:themeColor="text1"/>
        </w:rPr>
        <w:t xml:space="preserve"> the</w:t>
      </w:r>
      <w:r w:rsidR="003D025F" w:rsidRPr="00D31A97">
        <w:rPr>
          <w:rFonts w:ascii="Times New Roman" w:hAnsi="Times New Roman" w:cs="Times New Roman"/>
          <w:color w:val="000000" w:themeColor="text1"/>
        </w:rPr>
        <w:t xml:space="preserve"> FAA. </w:t>
      </w:r>
    </w:p>
    <w:p w14:paraId="3CB25059" w14:textId="49F8BE9F" w:rsidR="00FB776D" w:rsidRPr="00D31A97" w:rsidRDefault="00FB776D" w:rsidP="00EA7E4D">
      <w:pPr>
        <w:spacing w:line="480" w:lineRule="auto"/>
        <w:ind w:firstLine="720"/>
        <w:contextualSpacing/>
        <w:rPr>
          <w:rFonts w:ascii="Times New Roman" w:hAnsi="Times New Roman" w:cs="Times New Roman"/>
          <w:color w:val="000000" w:themeColor="text1"/>
        </w:rPr>
      </w:pPr>
      <w:r w:rsidRPr="00D31A97">
        <w:rPr>
          <w:rFonts w:ascii="Times New Roman" w:hAnsi="Times New Roman" w:cs="Times New Roman"/>
          <w:color w:val="000000" w:themeColor="text1"/>
        </w:rPr>
        <w:t xml:space="preserve">The </w:t>
      </w:r>
      <w:r w:rsidR="00E2522A" w:rsidRPr="00D31A97">
        <w:rPr>
          <w:rFonts w:ascii="Times New Roman" w:hAnsi="Times New Roman" w:cs="Times New Roman"/>
          <w:color w:val="000000" w:themeColor="text1"/>
        </w:rPr>
        <w:t>Supreme C</w:t>
      </w:r>
      <w:r w:rsidRPr="00D31A97">
        <w:rPr>
          <w:rFonts w:ascii="Times New Roman" w:hAnsi="Times New Roman" w:cs="Times New Roman"/>
          <w:color w:val="000000" w:themeColor="text1"/>
        </w:rPr>
        <w:t xml:space="preserve">ourt held that the Arbitration Act’s saving clause and </w:t>
      </w:r>
      <w:r w:rsidR="00E2522A" w:rsidRPr="00D31A97">
        <w:rPr>
          <w:rFonts w:ascii="Times New Roman" w:hAnsi="Times New Roman" w:cs="Times New Roman"/>
          <w:color w:val="000000" w:themeColor="text1"/>
        </w:rPr>
        <w:t xml:space="preserve">the </w:t>
      </w:r>
      <w:r w:rsidRPr="00D31A97">
        <w:rPr>
          <w:rFonts w:ascii="Times New Roman" w:hAnsi="Times New Roman" w:cs="Times New Roman"/>
          <w:color w:val="000000" w:themeColor="text1"/>
        </w:rPr>
        <w:t xml:space="preserve">NLRA do not displace the Federal Arbitration Act </w:t>
      </w:r>
      <w:r w:rsidR="00E2522A" w:rsidRPr="00D31A97">
        <w:rPr>
          <w:rFonts w:ascii="Times New Roman" w:hAnsi="Times New Roman" w:cs="Times New Roman"/>
          <w:color w:val="000000" w:themeColor="text1"/>
        </w:rPr>
        <w:t xml:space="preserve">in which individualized arbitration agreements must be enforced. </w:t>
      </w:r>
      <w:r w:rsidR="00CA32CD" w:rsidRPr="00D31A97">
        <w:rPr>
          <w:rFonts w:ascii="Times New Roman" w:hAnsi="Times New Roman" w:cs="Times New Roman"/>
          <w:color w:val="000000" w:themeColor="text1"/>
        </w:rPr>
        <w:t>J</w:t>
      </w:r>
      <w:r w:rsidRPr="00D31A97">
        <w:rPr>
          <w:rFonts w:ascii="Times New Roman" w:hAnsi="Times New Roman" w:cs="Times New Roman"/>
          <w:color w:val="000000" w:themeColor="text1"/>
        </w:rPr>
        <w:t xml:space="preserve">ustice Neil Gorsuch delivered </w:t>
      </w:r>
      <w:r w:rsidR="00E2522A" w:rsidRPr="00D31A97">
        <w:rPr>
          <w:rFonts w:ascii="Times New Roman" w:hAnsi="Times New Roman" w:cs="Times New Roman"/>
          <w:color w:val="000000" w:themeColor="text1"/>
        </w:rPr>
        <w:t xml:space="preserve">the </w:t>
      </w:r>
      <w:r w:rsidRPr="00D31A97">
        <w:rPr>
          <w:rFonts w:ascii="Times New Roman" w:hAnsi="Times New Roman" w:cs="Times New Roman"/>
          <w:color w:val="000000" w:themeColor="text1"/>
        </w:rPr>
        <w:t>majority opinion</w:t>
      </w:r>
      <w:r w:rsidR="00E2522A" w:rsidRPr="00D31A97">
        <w:rPr>
          <w:rFonts w:ascii="Times New Roman" w:hAnsi="Times New Roman" w:cs="Times New Roman"/>
          <w:color w:val="000000" w:themeColor="text1"/>
        </w:rPr>
        <w:t xml:space="preserve"> that the NLRA </w:t>
      </w:r>
      <w:r w:rsidR="00D223C2" w:rsidRPr="00D31A97">
        <w:rPr>
          <w:rFonts w:ascii="Times New Roman" w:hAnsi="Times New Roman" w:cs="Times New Roman"/>
          <w:color w:val="000000" w:themeColor="text1"/>
        </w:rPr>
        <w:t>“</w:t>
      </w:r>
      <w:r w:rsidR="00E2522A" w:rsidRPr="00D31A97">
        <w:rPr>
          <w:rFonts w:ascii="Times New Roman" w:hAnsi="Times New Roman" w:cs="Times New Roman"/>
          <w:color w:val="000000" w:themeColor="text1"/>
        </w:rPr>
        <w:t xml:space="preserve">does not </w:t>
      </w:r>
      <w:r w:rsidR="00D223C2" w:rsidRPr="00D31A97">
        <w:rPr>
          <w:rFonts w:ascii="Times New Roman" w:hAnsi="Times New Roman" w:cs="Times New Roman"/>
          <w:color w:val="000000" w:themeColor="text1"/>
        </w:rPr>
        <w:t>mention</w:t>
      </w:r>
      <w:r w:rsidR="00E2522A" w:rsidRPr="00D31A97">
        <w:rPr>
          <w:rFonts w:ascii="Times New Roman" w:hAnsi="Times New Roman" w:cs="Times New Roman"/>
          <w:color w:val="000000" w:themeColor="text1"/>
        </w:rPr>
        <w:t xml:space="preserve"> class or collection action </w:t>
      </w:r>
      <w:r w:rsidR="00D223C2" w:rsidRPr="00D31A97">
        <w:rPr>
          <w:rFonts w:ascii="Times New Roman" w:hAnsi="Times New Roman" w:cs="Times New Roman"/>
          <w:color w:val="000000" w:themeColor="text1"/>
        </w:rPr>
        <w:t xml:space="preserve">procedures” and that the FAA instructed </w:t>
      </w:r>
      <w:r w:rsidR="00267369" w:rsidRPr="00D31A97">
        <w:rPr>
          <w:rFonts w:ascii="Times New Roman" w:hAnsi="Times New Roman" w:cs="Times New Roman"/>
          <w:color w:val="000000" w:themeColor="text1"/>
        </w:rPr>
        <w:t xml:space="preserve">federal </w:t>
      </w:r>
      <w:r w:rsidR="00D223C2" w:rsidRPr="00D31A97">
        <w:rPr>
          <w:rFonts w:ascii="Times New Roman" w:hAnsi="Times New Roman" w:cs="Times New Roman"/>
          <w:color w:val="000000" w:themeColor="text1"/>
        </w:rPr>
        <w:t>courts to enforce arbitration</w:t>
      </w:r>
      <w:r w:rsidR="00267369" w:rsidRPr="00D31A97">
        <w:rPr>
          <w:rFonts w:ascii="Times New Roman" w:hAnsi="Times New Roman" w:cs="Times New Roman"/>
          <w:color w:val="000000" w:themeColor="text1"/>
        </w:rPr>
        <w:t xml:space="preserve">. </w:t>
      </w:r>
    </w:p>
    <w:p w14:paraId="51A86219" w14:textId="31A1E8E5" w:rsidR="00FB776D" w:rsidRPr="00D31A97" w:rsidRDefault="00FB776D" w:rsidP="00EA7E4D">
      <w:pPr>
        <w:spacing w:line="480" w:lineRule="auto"/>
        <w:ind w:firstLine="720"/>
        <w:contextualSpacing/>
        <w:rPr>
          <w:rFonts w:ascii="Times New Roman" w:hAnsi="Times New Roman" w:cs="Times New Roman"/>
          <w:color w:val="000000" w:themeColor="text1"/>
        </w:rPr>
      </w:pPr>
      <w:r w:rsidRPr="00D31A97">
        <w:rPr>
          <w:rFonts w:ascii="Times New Roman" w:hAnsi="Times New Roman" w:cs="Times New Roman"/>
          <w:color w:val="000000" w:themeColor="text1"/>
        </w:rPr>
        <w:t>Justice Ruth Bader Ginsburg</w:t>
      </w:r>
      <w:r w:rsidR="00A7496A" w:rsidRPr="00D31A97">
        <w:rPr>
          <w:rFonts w:ascii="Times New Roman" w:hAnsi="Times New Roman" w:cs="Times New Roman"/>
          <w:color w:val="000000" w:themeColor="text1"/>
        </w:rPr>
        <w:t xml:space="preserve"> </w:t>
      </w:r>
      <w:r w:rsidR="001A63EB" w:rsidRPr="00D31A97">
        <w:rPr>
          <w:rFonts w:ascii="Times New Roman" w:hAnsi="Times New Roman" w:cs="Times New Roman"/>
          <w:color w:val="000000" w:themeColor="text1"/>
        </w:rPr>
        <w:t xml:space="preserve">and others </w:t>
      </w:r>
      <w:r w:rsidR="00A7496A" w:rsidRPr="00D31A97">
        <w:rPr>
          <w:rFonts w:ascii="Times New Roman" w:hAnsi="Times New Roman" w:cs="Times New Roman"/>
          <w:color w:val="000000" w:themeColor="text1"/>
        </w:rPr>
        <w:t>dissented claiming that the NLRA</w:t>
      </w:r>
      <w:r w:rsidR="00B8771F" w:rsidRPr="00D31A97">
        <w:rPr>
          <w:rFonts w:ascii="Times New Roman" w:hAnsi="Times New Roman" w:cs="Times New Roman"/>
          <w:color w:val="000000" w:themeColor="text1"/>
        </w:rPr>
        <w:t xml:space="preserve"> seeks to </w:t>
      </w:r>
      <w:r w:rsidR="00F83DBA" w:rsidRPr="00D31A97">
        <w:rPr>
          <w:rFonts w:ascii="Times New Roman" w:hAnsi="Times New Roman" w:cs="Times New Roman"/>
          <w:color w:val="000000" w:themeColor="text1"/>
        </w:rPr>
        <w:t>remedy the</w:t>
      </w:r>
      <w:r w:rsidR="00A7496A" w:rsidRPr="00D31A97">
        <w:rPr>
          <w:rFonts w:ascii="Times New Roman" w:hAnsi="Times New Roman" w:cs="Times New Roman"/>
          <w:color w:val="000000" w:themeColor="text1"/>
        </w:rPr>
        <w:t xml:space="preserve"> extreme imbalance between employer and employee a</w:t>
      </w:r>
      <w:r w:rsidR="00F83DBA" w:rsidRPr="00D31A97">
        <w:rPr>
          <w:rFonts w:ascii="Times New Roman" w:hAnsi="Times New Roman" w:cs="Times New Roman"/>
          <w:color w:val="000000" w:themeColor="text1"/>
        </w:rPr>
        <w:t>nd that the FAA should not belittle the NLRA’s “protective sphere.”</w:t>
      </w:r>
    </w:p>
    <w:p w14:paraId="38EA5A4F" w14:textId="52F203A7" w:rsidR="000270CB" w:rsidRPr="00D31A97" w:rsidRDefault="00053C61" w:rsidP="00EA7E4D">
      <w:pPr>
        <w:spacing w:line="480" w:lineRule="auto"/>
        <w:contextualSpacing/>
        <w:rPr>
          <w:rFonts w:ascii="Times New Roman" w:hAnsi="Times New Roman" w:cs="Times New Roman"/>
          <w:color w:val="000000" w:themeColor="text1"/>
        </w:rPr>
      </w:pPr>
      <w:r w:rsidRPr="00D31A97">
        <w:rPr>
          <w:rFonts w:ascii="Times New Roman" w:hAnsi="Times New Roman" w:cs="Times New Roman"/>
          <w:color w:val="000000" w:themeColor="text1"/>
        </w:rPr>
        <w:tab/>
        <w:t xml:space="preserve">This case further expanded the power gap between employer and employee. It also defeated the purpose of the NLRA to protect employees from their employer, weaking </w:t>
      </w:r>
      <w:r w:rsidR="008114A9" w:rsidRPr="00D31A97">
        <w:rPr>
          <w:rFonts w:ascii="Times New Roman" w:hAnsi="Times New Roman" w:cs="Times New Roman"/>
          <w:color w:val="000000" w:themeColor="text1"/>
        </w:rPr>
        <w:t>the workforce</w:t>
      </w:r>
      <w:r w:rsidRPr="00D31A97">
        <w:rPr>
          <w:rFonts w:ascii="Times New Roman" w:hAnsi="Times New Roman" w:cs="Times New Roman"/>
          <w:color w:val="000000" w:themeColor="text1"/>
        </w:rPr>
        <w:t>’</w:t>
      </w:r>
      <w:r w:rsidR="008114A9" w:rsidRPr="00D31A97">
        <w:rPr>
          <w:rFonts w:ascii="Times New Roman" w:hAnsi="Times New Roman" w:cs="Times New Roman"/>
          <w:color w:val="000000" w:themeColor="text1"/>
        </w:rPr>
        <w:t>s</w:t>
      </w:r>
      <w:r w:rsidRPr="00D31A97">
        <w:rPr>
          <w:rFonts w:ascii="Times New Roman" w:hAnsi="Times New Roman" w:cs="Times New Roman"/>
          <w:color w:val="000000" w:themeColor="text1"/>
        </w:rPr>
        <w:t xml:space="preserve"> rights.</w:t>
      </w:r>
    </w:p>
    <w:p w14:paraId="69E6169A" w14:textId="27667534" w:rsidR="00FB776D" w:rsidRPr="00D31A97" w:rsidRDefault="00FB776D" w:rsidP="00EA7E4D">
      <w:pPr>
        <w:spacing w:before="100" w:beforeAutospacing="1" w:after="100" w:afterAutospacing="1" w:line="480" w:lineRule="auto"/>
        <w:contextualSpacing/>
        <w:rPr>
          <w:rFonts w:ascii="Times New Roman" w:eastAsia="Times New Roman" w:hAnsi="Times New Roman" w:cs="Times New Roman"/>
          <w:b/>
          <w:bCs/>
          <w:color w:val="000000" w:themeColor="text1"/>
        </w:rPr>
      </w:pPr>
      <w:r w:rsidRPr="00D31A97">
        <w:rPr>
          <w:rFonts w:ascii="Times New Roman" w:eastAsia="Times New Roman" w:hAnsi="Times New Roman" w:cs="Times New Roman"/>
          <w:b/>
          <w:bCs/>
          <w:color w:val="000000" w:themeColor="text1"/>
        </w:rPr>
        <w:t>Opinion</w:t>
      </w:r>
    </w:p>
    <w:p w14:paraId="7591AE04" w14:textId="4895FB4E" w:rsidR="00AB64F3" w:rsidRPr="00D31A97" w:rsidRDefault="00AB64F3" w:rsidP="00053C61">
      <w:pPr>
        <w:spacing w:line="480" w:lineRule="auto"/>
        <w:ind w:firstLine="720"/>
        <w:contextualSpacing/>
        <w:rPr>
          <w:rFonts w:ascii="Times New Roman" w:eastAsia="Times New Roman" w:hAnsi="Times New Roman" w:cs="Times New Roman"/>
          <w:color w:val="000000" w:themeColor="text1"/>
          <w:shd w:val="clear" w:color="auto" w:fill="FFFFFF"/>
        </w:rPr>
      </w:pPr>
      <w:r w:rsidRPr="00D31A97">
        <w:rPr>
          <w:rFonts w:ascii="Times New Roman" w:eastAsia="Times New Roman" w:hAnsi="Times New Roman" w:cs="Times New Roman"/>
          <w:color w:val="000000" w:themeColor="text1"/>
          <w:shd w:val="clear" w:color="auto" w:fill="FFFFFF"/>
        </w:rPr>
        <w:t>Employees should be able to bring their disputes to court. The nature of th</w:t>
      </w:r>
      <w:r w:rsidR="00E45093" w:rsidRPr="00D31A97">
        <w:rPr>
          <w:rFonts w:ascii="Times New Roman" w:eastAsia="Times New Roman" w:hAnsi="Times New Roman" w:cs="Times New Roman"/>
          <w:color w:val="000000" w:themeColor="text1"/>
          <w:shd w:val="clear" w:color="auto" w:fill="FFFFFF"/>
        </w:rPr>
        <w:t>e arbitration</w:t>
      </w:r>
      <w:r w:rsidRPr="00D31A97">
        <w:rPr>
          <w:rFonts w:ascii="Times New Roman" w:eastAsia="Times New Roman" w:hAnsi="Times New Roman" w:cs="Times New Roman"/>
          <w:color w:val="000000" w:themeColor="text1"/>
          <w:shd w:val="clear" w:color="auto" w:fill="FFFFFF"/>
        </w:rPr>
        <w:t xml:space="preserve"> practice gives too much power to employers, leaving their employees largely vulnerable to discrimination and violations. </w:t>
      </w:r>
    </w:p>
    <w:p w14:paraId="6236A6D9" w14:textId="437A47E5" w:rsidR="00FB776D" w:rsidRPr="00D31A97" w:rsidRDefault="00AB64F3" w:rsidP="00053C61">
      <w:pPr>
        <w:spacing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shd w:val="clear" w:color="auto" w:fill="FFFFFF"/>
        </w:rPr>
        <w:lastRenderedPageBreak/>
        <w:t xml:space="preserve">Particularly, research </w:t>
      </w:r>
      <w:r w:rsidR="00177E13" w:rsidRPr="00D31A97">
        <w:rPr>
          <w:rFonts w:ascii="Times New Roman" w:eastAsia="Times New Roman" w:hAnsi="Times New Roman" w:cs="Times New Roman"/>
          <w:color w:val="000000" w:themeColor="text1"/>
          <w:shd w:val="clear" w:color="auto" w:fill="FFFFFF"/>
        </w:rPr>
        <w:t>suggests</w:t>
      </w:r>
      <w:r w:rsidRPr="00D31A97">
        <w:rPr>
          <w:rFonts w:ascii="Times New Roman" w:eastAsia="Times New Roman" w:hAnsi="Times New Roman" w:cs="Times New Roman"/>
          <w:color w:val="000000" w:themeColor="text1"/>
          <w:shd w:val="clear" w:color="auto" w:fill="FFFFFF"/>
        </w:rPr>
        <w:t xml:space="preserve"> that th</w:t>
      </w:r>
      <w:r w:rsidR="00A439B4" w:rsidRPr="00D31A97">
        <w:rPr>
          <w:rFonts w:ascii="Times New Roman" w:eastAsia="Times New Roman" w:hAnsi="Times New Roman" w:cs="Times New Roman"/>
          <w:color w:val="000000" w:themeColor="text1"/>
          <w:shd w:val="clear" w:color="auto" w:fill="FFFFFF"/>
        </w:rPr>
        <w:t xml:space="preserve">is practice is </w:t>
      </w:r>
      <w:r w:rsidR="008557F8" w:rsidRPr="00D31A97">
        <w:rPr>
          <w:rFonts w:ascii="Times New Roman" w:eastAsia="Times New Roman" w:hAnsi="Times New Roman" w:cs="Times New Roman"/>
          <w:color w:val="000000" w:themeColor="text1"/>
          <w:shd w:val="clear" w:color="auto" w:fill="FFFFFF"/>
        </w:rPr>
        <w:t xml:space="preserve">typically </w:t>
      </w:r>
      <w:r w:rsidR="006D2373" w:rsidRPr="00D31A97">
        <w:rPr>
          <w:rFonts w:ascii="Times New Roman" w:eastAsia="Times New Roman" w:hAnsi="Times New Roman" w:cs="Times New Roman"/>
          <w:color w:val="000000" w:themeColor="text1"/>
          <w:shd w:val="clear" w:color="auto" w:fill="FFFFFF"/>
        </w:rPr>
        <w:t>present in industries</w:t>
      </w:r>
      <w:r w:rsidR="008557F8" w:rsidRPr="00D31A97">
        <w:rPr>
          <w:rFonts w:ascii="Times New Roman" w:eastAsia="Times New Roman" w:hAnsi="Times New Roman" w:cs="Times New Roman"/>
          <w:color w:val="000000" w:themeColor="text1"/>
          <w:shd w:val="clear" w:color="auto" w:fill="FFFFFF"/>
        </w:rPr>
        <w:t xml:space="preserve"> </w:t>
      </w:r>
      <w:r w:rsidR="00FB776D" w:rsidRPr="00D31A97">
        <w:rPr>
          <w:rFonts w:ascii="Times New Roman" w:eastAsia="Times New Roman" w:hAnsi="Times New Roman" w:cs="Times New Roman"/>
          <w:color w:val="000000" w:themeColor="text1"/>
          <w:shd w:val="clear" w:color="auto" w:fill="FFFFFF"/>
        </w:rPr>
        <w:t xml:space="preserve">disproportionately composed of </w:t>
      </w:r>
      <w:r w:rsidR="008557F8" w:rsidRPr="00D31A97">
        <w:rPr>
          <w:rFonts w:ascii="Times New Roman" w:eastAsia="Times New Roman" w:hAnsi="Times New Roman" w:cs="Times New Roman"/>
          <w:color w:val="000000" w:themeColor="text1"/>
          <w:shd w:val="clear" w:color="auto" w:fill="FFFFFF"/>
        </w:rPr>
        <w:t xml:space="preserve">black and women employees </w:t>
      </w:r>
      <w:r w:rsidR="00FB776D" w:rsidRPr="00D31A97">
        <w:rPr>
          <w:rFonts w:ascii="Times New Roman" w:eastAsia="Times New Roman" w:hAnsi="Times New Roman" w:cs="Times New Roman"/>
          <w:color w:val="000000" w:themeColor="text1"/>
          <w:shd w:val="clear" w:color="auto" w:fill="FFFFFF"/>
        </w:rPr>
        <w:t>(</w:t>
      </w:r>
      <w:r w:rsidR="008557F8" w:rsidRPr="00D31A97">
        <w:rPr>
          <w:rFonts w:ascii="Times New Roman" w:eastAsia="Times New Roman" w:hAnsi="Times New Roman" w:cs="Times New Roman"/>
          <w:color w:val="000000" w:themeColor="text1"/>
          <w:shd w:val="clear" w:color="auto" w:fill="FFFFFF"/>
        </w:rPr>
        <w:t>C</w:t>
      </w:r>
      <w:r w:rsidR="00FB776D" w:rsidRPr="00D31A97">
        <w:rPr>
          <w:rFonts w:ascii="Times New Roman" w:eastAsia="Times New Roman" w:hAnsi="Times New Roman" w:cs="Times New Roman"/>
          <w:color w:val="000000" w:themeColor="text1"/>
          <w:shd w:val="clear" w:color="auto" w:fill="FFFFFF"/>
        </w:rPr>
        <w:t>olvin 2018)</w:t>
      </w:r>
      <w:r w:rsidR="008557F8" w:rsidRPr="00D31A97">
        <w:rPr>
          <w:rFonts w:ascii="Times New Roman" w:eastAsia="Times New Roman" w:hAnsi="Times New Roman" w:cs="Times New Roman"/>
          <w:color w:val="000000" w:themeColor="text1"/>
          <w:shd w:val="clear" w:color="auto" w:fill="FFFFFF"/>
        </w:rPr>
        <w:t xml:space="preserve">. </w:t>
      </w:r>
      <w:r w:rsidR="005060BD" w:rsidRPr="00D31A97">
        <w:rPr>
          <w:rFonts w:ascii="Times New Roman" w:eastAsia="Times New Roman" w:hAnsi="Times New Roman" w:cs="Times New Roman"/>
          <w:color w:val="000000" w:themeColor="text1"/>
          <w:shd w:val="clear" w:color="auto" w:fill="FFFFFF"/>
        </w:rPr>
        <w:t>Whereas</w:t>
      </w:r>
      <w:r w:rsidR="008557F8" w:rsidRPr="00D31A97">
        <w:rPr>
          <w:rFonts w:ascii="Times New Roman" w:eastAsia="Times New Roman" w:hAnsi="Times New Roman" w:cs="Times New Roman"/>
          <w:color w:val="000000" w:themeColor="text1"/>
          <w:shd w:val="clear" w:color="auto" w:fill="FFFFFF"/>
        </w:rPr>
        <w:t xml:space="preserve"> employees before had the right to bring their concerns to a court that would likely use strict scrutiny for their concerns under protected classes, employees are now left to arbitrate their concerns under weaker employer-designated procedures and providers</w:t>
      </w:r>
      <w:r w:rsidR="005060BD" w:rsidRPr="00D31A97">
        <w:rPr>
          <w:rFonts w:ascii="Times New Roman" w:eastAsia="Times New Roman" w:hAnsi="Times New Roman" w:cs="Times New Roman"/>
          <w:color w:val="000000" w:themeColor="text1"/>
          <w:shd w:val="clear" w:color="auto" w:fill="FFFFFF"/>
        </w:rPr>
        <w:t xml:space="preserve"> that would render less remedies and protect the employer in question.</w:t>
      </w:r>
    </w:p>
    <w:p w14:paraId="2A59A563" w14:textId="479D2E43" w:rsidR="002847A8" w:rsidRPr="00D31A97" w:rsidRDefault="008557F8"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Although the </w:t>
      </w:r>
      <w:r w:rsidR="005060BD" w:rsidRPr="00D31A97">
        <w:rPr>
          <w:rFonts w:ascii="Times New Roman" w:eastAsia="Times New Roman" w:hAnsi="Times New Roman" w:cs="Times New Roman"/>
          <w:color w:val="000000" w:themeColor="text1"/>
        </w:rPr>
        <w:t>argument</w:t>
      </w:r>
      <w:r w:rsidRPr="00D31A97">
        <w:rPr>
          <w:rFonts w:ascii="Times New Roman" w:eastAsia="Times New Roman" w:hAnsi="Times New Roman" w:cs="Times New Roman"/>
          <w:color w:val="000000" w:themeColor="text1"/>
        </w:rPr>
        <w:t xml:space="preserve"> under forced arbitration relies on the employee willingly signing the agreement as a condition and term of their employment, </w:t>
      </w:r>
      <w:r w:rsidR="00993390" w:rsidRPr="00D31A97">
        <w:rPr>
          <w:rFonts w:ascii="Times New Roman" w:eastAsia="Times New Roman" w:hAnsi="Times New Roman" w:cs="Times New Roman"/>
          <w:color w:val="000000" w:themeColor="text1"/>
        </w:rPr>
        <w:t>there are instances where workers do not sign this agreement.</w:t>
      </w:r>
      <w:r w:rsidR="00705D1E" w:rsidRPr="00D31A97">
        <w:rPr>
          <w:rFonts w:ascii="Times New Roman" w:eastAsia="Times New Roman" w:hAnsi="Times New Roman" w:cs="Times New Roman"/>
          <w:color w:val="000000" w:themeColor="text1"/>
        </w:rPr>
        <w:t xml:space="preserve"> </w:t>
      </w:r>
      <w:r w:rsidR="002847A8" w:rsidRPr="00D31A97">
        <w:rPr>
          <w:rFonts w:ascii="Times New Roman" w:eastAsia="Times New Roman" w:hAnsi="Times New Roman" w:cs="Times New Roman"/>
          <w:color w:val="000000" w:themeColor="text1"/>
        </w:rPr>
        <w:t xml:space="preserve">About 3.5% of establishments adopt arbitration requirements by announcing a change in organization’s employment policies (Colvin 2018). </w:t>
      </w:r>
      <w:r w:rsidR="004512C6" w:rsidRPr="00D31A97">
        <w:rPr>
          <w:rFonts w:ascii="Times New Roman" w:eastAsia="Times New Roman" w:hAnsi="Times New Roman" w:cs="Times New Roman"/>
          <w:color w:val="000000" w:themeColor="text1"/>
        </w:rPr>
        <w:t xml:space="preserve">This act appears largely unconscionable. </w:t>
      </w:r>
      <w:r w:rsidR="005060BD" w:rsidRPr="00D31A97">
        <w:rPr>
          <w:rFonts w:ascii="Times New Roman" w:eastAsia="Times New Roman" w:hAnsi="Times New Roman" w:cs="Times New Roman"/>
          <w:color w:val="000000" w:themeColor="text1"/>
        </w:rPr>
        <w:t>In the future, t</w:t>
      </w:r>
      <w:r w:rsidR="002847A8" w:rsidRPr="00D31A97">
        <w:rPr>
          <w:rFonts w:ascii="Times New Roman" w:eastAsia="Times New Roman" w:hAnsi="Times New Roman" w:cs="Times New Roman"/>
          <w:color w:val="000000" w:themeColor="text1"/>
        </w:rPr>
        <w:t>his may be challenged and influence future decisions against mandatory arbitration.</w:t>
      </w:r>
    </w:p>
    <w:p w14:paraId="53B03FB4" w14:textId="156E6C10" w:rsidR="005060BD" w:rsidRPr="00D31A97" w:rsidRDefault="005060BD" w:rsidP="00EA7E4D">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However, given the substantial power the Court has given employers and the immense expansion of forced arbitration and its anti-class action clauses, it is unlikely that this practice will end anytime soon. Since a series of cases starting in the 1990’s led to commonality of employer-mandated arbitration today, it is likely that a series of cases would also need to crash down the practice. </w:t>
      </w:r>
    </w:p>
    <w:p w14:paraId="69649E05" w14:textId="57C2A4FB" w:rsidR="00F154EB" w:rsidRPr="00D31A97" w:rsidRDefault="005060BD" w:rsidP="004512C6">
      <w:pPr>
        <w:spacing w:before="100" w:beforeAutospacing="1" w:after="100" w:afterAutospacing="1" w:line="480" w:lineRule="auto"/>
        <w:ind w:firstLine="720"/>
        <w:contextualSpacing/>
        <w:rPr>
          <w:rFonts w:ascii="Times New Roman" w:eastAsia="Times New Roman" w:hAnsi="Times New Roman" w:cs="Times New Roman"/>
          <w:color w:val="000000" w:themeColor="text1"/>
        </w:rPr>
      </w:pPr>
      <w:r w:rsidRPr="00D31A97">
        <w:rPr>
          <w:rFonts w:ascii="Times New Roman" w:eastAsia="Times New Roman" w:hAnsi="Times New Roman" w:cs="Times New Roman"/>
          <w:color w:val="000000" w:themeColor="text1"/>
        </w:rPr>
        <w:t xml:space="preserve">The NLRA and its protections could question the power that arbitration has gained through the FAA. Future cases could involve how the current application and instructions of the FAA </w:t>
      </w:r>
      <w:r w:rsidR="004512C6" w:rsidRPr="00D31A97">
        <w:rPr>
          <w:rFonts w:ascii="Times New Roman" w:eastAsia="Times New Roman" w:hAnsi="Times New Roman" w:cs="Times New Roman"/>
          <w:color w:val="000000" w:themeColor="text1"/>
        </w:rPr>
        <w:t>interfere with the</w:t>
      </w:r>
      <w:r w:rsidRPr="00D31A97">
        <w:rPr>
          <w:rFonts w:ascii="Times New Roman" w:eastAsia="Times New Roman" w:hAnsi="Times New Roman" w:cs="Times New Roman"/>
          <w:color w:val="000000" w:themeColor="text1"/>
        </w:rPr>
        <w:t xml:space="preserve"> NLRA</w:t>
      </w:r>
      <w:r w:rsidR="004512C6" w:rsidRPr="00D31A97">
        <w:rPr>
          <w:rFonts w:ascii="Times New Roman" w:eastAsia="Times New Roman" w:hAnsi="Times New Roman" w:cs="Times New Roman"/>
          <w:color w:val="000000" w:themeColor="text1"/>
        </w:rPr>
        <w:t>’s protections and how the Court can balance the power between employers and employees.</w:t>
      </w:r>
    </w:p>
    <w:p w14:paraId="5E5245CF" w14:textId="74049E86" w:rsidR="004512C6" w:rsidRPr="00D31A97" w:rsidRDefault="004512C6" w:rsidP="004512C6">
      <w:pPr>
        <w:spacing w:before="100" w:beforeAutospacing="1" w:after="100" w:afterAutospacing="1" w:line="480" w:lineRule="auto"/>
        <w:contextualSpacing/>
        <w:rPr>
          <w:rFonts w:ascii="Times New Roman" w:eastAsia="Times New Roman" w:hAnsi="Times New Roman" w:cs="Times New Roman"/>
          <w:color w:val="000000" w:themeColor="text1"/>
        </w:rPr>
      </w:pPr>
    </w:p>
    <w:p w14:paraId="704260E1" w14:textId="3D8B8EA6" w:rsidR="004512C6" w:rsidRPr="00D31A97" w:rsidRDefault="004512C6" w:rsidP="004512C6">
      <w:pPr>
        <w:spacing w:before="100" w:beforeAutospacing="1" w:after="100" w:afterAutospacing="1" w:line="480" w:lineRule="auto"/>
        <w:contextualSpacing/>
        <w:rPr>
          <w:rFonts w:ascii="Times New Roman" w:eastAsia="Times New Roman" w:hAnsi="Times New Roman" w:cs="Times New Roman"/>
          <w:color w:val="000000" w:themeColor="text1"/>
        </w:rPr>
      </w:pPr>
    </w:p>
    <w:p w14:paraId="2DEC5A56" w14:textId="77777777" w:rsidR="004512C6" w:rsidRPr="00D31A97" w:rsidRDefault="004512C6" w:rsidP="00D31A97">
      <w:pPr>
        <w:spacing w:before="100" w:beforeAutospacing="1" w:after="100" w:afterAutospacing="1" w:line="480" w:lineRule="auto"/>
        <w:contextualSpacing/>
        <w:rPr>
          <w:rFonts w:ascii="Times New Roman" w:eastAsia="Times New Roman" w:hAnsi="Times New Roman" w:cs="Times New Roman"/>
          <w:color w:val="000000" w:themeColor="text1"/>
        </w:rPr>
      </w:pPr>
    </w:p>
    <w:p w14:paraId="38E46D90" w14:textId="695C3C0D" w:rsidR="002847A8" w:rsidRPr="00D31A97" w:rsidRDefault="002847A8" w:rsidP="00D31A97">
      <w:pPr>
        <w:spacing w:before="100" w:beforeAutospacing="1" w:after="100" w:afterAutospacing="1" w:line="480" w:lineRule="auto"/>
        <w:rPr>
          <w:rFonts w:ascii="Times New Roman" w:eastAsia="Times New Roman" w:hAnsi="Times New Roman" w:cs="Times New Roman"/>
          <w:b/>
          <w:bCs/>
        </w:rPr>
      </w:pPr>
      <w:r w:rsidRPr="00D31A97">
        <w:rPr>
          <w:rFonts w:ascii="Times New Roman" w:eastAsia="Times New Roman" w:hAnsi="Times New Roman" w:cs="Times New Roman"/>
          <w:b/>
          <w:bCs/>
        </w:rPr>
        <w:t>References</w:t>
      </w:r>
    </w:p>
    <w:p w14:paraId="271E0F8F" w14:textId="4AC4FD41" w:rsidR="004512C6" w:rsidRPr="00D31A97" w:rsidRDefault="004512C6" w:rsidP="00D31A97">
      <w:pPr>
        <w:spacing w:before="100" w:beforeAutospacing="1" w:after="100" w:afterAutospacing="1" w:line="480" w:lineRule="auto"/>
        <w:ind w:left="567" w:hanging="567"/>
        <w:rPr>
          <w:rFonts w:ascii="Times New Roman" w:eastAsia="Times New Roman" w:hAnsi="Times New Roman" w:cs="Times New Roman"/>
        </w:rPr>
      </w:pPr>
      <w:r w:rsidRPr="004512C6">
        <w:rPr>
          <w:rFonts w:ascii="Times New Roman" w:eastAsia="Times New Roman" w:hAnsi="Times New Roman" w:cs="Times New Roman"/>
        </w:rPr>
        <w:t xml:space="preserve">Bickerman, J. (2020, January 16). Increase in Workers Subject to Arbitration Coincides with Supreme Court Rulings. Retrieved April 15, 2021, from </w:t>
      </w:r>
      <w:hyperlink r:id="rId7" w:history="1">
        <w:r w:rsidRPr="004512C6">
          <w:rPr>
            <w:rStyle w:val="Hyperlink"/>
            <w:rFonts w:ascii="Times New Roman" w:eastAsia="Times New Roman" w:hAnsi="Times New Roman" w:cs="Times New Roman"/>
          </w:rPr>
          <w:t>https://www.americanbar.org/groups/litigation/committees/alternative-dispute-resolution/practice/2020/increase-in-workers-subject-to-arbitration-coincides-with-supreme-court-rulings/</w:t>
        </w:r>
      </w:hyperlink>
    </w:p>
    <w:p w14:paraId="7BE12782" w14:textId="77777777" w:rsidR="004512C6" w:rsidRPr="004512C6" w:rsidRDefault="004512C6" w:rsidP="00D31A97">
      <w:pPr>
        <w:spacing w:before="100" w:beforeAutospacing="1" w:after="100" w:afterAutospacing="1" w:line="480" w:lineRule="auto"/>
        <w:ind w:left="567" w:hanging="567"/>
        <w:rPr>
          <w:rFonts w:ascii="Times New Roman" w:eastAsia="Times New Roman" w:hAnsi="Times New Roman" w:cs="Times New Roman"/>
        </w:rPr>
      </w:pPr>
      <w:r w:rsidRPr="004512C6">
        <w:rPr>
          <w:rFonts w:ascii="Times New Roman" w:eastAsia="Times New Roman" w:hAnsi="Times New Roman" w:cs="Times New Roman"/>
        </w:rPr>
        <w:t>Colvin, A. J. (2018, April 6). The growing use of Mandatory Arbitration: Access to the courts is now barred for more than 60 million American workers. Retrieved April 15, 2021, from https://www.epi.org/publication/the-growing-use-of-mandatory-arbitration-access-to-the-courts-is-now-barred-for-more-than-60-million-american-workers/</w:t>
      </w:r>
    </w:p>
    <w:p w14:paraId="0F25D957" w14:textId="77777777" w:rsidR="004512C6" w:rsidRPr="004512C6" w:rsidRDefault="004512C6" w:rsidP="00D31A97">
      <w:pPr>
        <w:spacing w:before="100" w:beforeAutospacing="1" w:after="100" w:afterAutospacing="1" w:line="480" w:lineRule="auto"/>
        <w:ind w:left="567" w:hanging="567"/>
        <w:rPr>
          <w:rFonts w:ascii="Times New Roman" w:eastAsia="Times New Roman" w:hAnsi="Times New Roman" w:cs="Times New Roman"/>
        </w:rPr>
      </w:pPr>
      <w:r w:rsidRPr="004512C6">
        <w:rPr>
          <w:rFonts w:ascii="Times New Roman" w:eastAsia="Times New Roman" w:hAnsi="Times New Roman" w:cs="Times New Roman"/>
        </w:rPr>
        <w:t>Wesson, D. B. (2020, March 23). Employer-mandated arbitration v. the working poor. Retrieved April 15, 2021, from https://www.law.georgetown.edu/poverty-journal/blog/employer-mandated-arbitration-v-the-working-poor/#_ftnref6</w:t>
      </w:r>
    </w:p>
    <w:p w14:paraId="6DE70084" w14:textId="0DC63F66" w:rsidR="00D31A97" w:rsidRPr="00D31A97" w:rsidRDefault="00EB31C0" w:rsidP="00D31A97">
      <w:pPr>
        <w:spacing w:line="480" w:lineRule="auto"/>
        <w:rPr>
          <w:rFonts w:ascii="Times New Roman" w:eastAsia="Times New Roman" w:hAnsi="Times New Roman" w:cs="Times New Roman"/>
          <w:color w:val="000000"/>
          <w:shd w:val="clear" w:color="auto" w:fill="FFFFFF"/>
        </w:rPr>
      </w:pPr>
      <w:r w:rsidRPr="00EB31C0">
        <w:rPr>
          <w:rFonts w:ascii="Times New Roman" w:eastAsia="Times New Roman" w:hAnsi="Times New Roman" w:cs="Times New Roman"/>
          <w:color w:val="000000"/>
          <w:shd w:val="clear" w:color="auto" w:fill="FFFFFF"/>
        </w:rPr>
        <w:t>563 U.S. 333</w:t>
      </w:r>
      <w:r w:rsidR="00D31A97" w:rsidRPr="00D31A97">
        <w:rPr>
          <w:rFonts w:ascii="Times New Roman" w:eastAsia="Times New Roman" w:hAnsi="Times New Roman" w:cs="Times New Roman"/>
          <w:color w:val="000000"/>
          <w:shd w:val="clear" w:color="auto" w:fill="FFFFFF"/>
        </w:rPr>
        <w:t xml:space="preserve"> (2011)</w:t>
      </w:r>
    </w:p>
    <w:p w14:paraId="10CF2AA2" w14:textId="1B983527" w:rsidR="00D31A97" w:rsidRPr="00D31A97" w:rsidRDefault="00D31A97" w:rsidP="00D31A97">
      <w:pPr>
        <w:shd w:val="clear" w:color="auto" w:fill="FFFFFF"/>
        <w:spacing w:before="240" w:after="75" w:line="480" w:lineRule="auto"/>
        <w:outlineLvl w:val="0"/>
        <w:rPr>
          <w:rFonts w:ascii="Times New Roman" w:eastAsia="Times New Roman" w:hAnsi="Times New Roman" w:cs="Times New Roman"/>
          <w:color w:val="1A1A1A"/>
          <w:kern w:val="36"/>
        </w:rPr>
      </w:pPr>
      <w:r w:rsidRPr="00D31A97">
        <w:rPr>
          <w:rFonts w:ascii="Times New Roman" w:eastAsia="Times New Roman" w:hAnsi="Times New Roman" w:cs="Times New Roman"/>
          <w:color w:val="1A1A1A"/>
          <w:kern w:val="36"/>
        </w:rPr>
        <w:t>570 U.S. 228 (2013)</w:t>
      </w:r>
    </w:p>
    <w:p w14:paraId="0943F92D" w14:textId="77777777" w:rsidR="00D31A97" w:rsidRPr="00D31A97" w:rsidRDefault="00D31A97" w:rsidP="00D31A97">
      <w:pPr>
        <w:pStyle w:val="Heading1"/>
        <w:shd w:val="clear" w:color="auto" w:fill="FFFFFF"/>
        <w:spacing w:before="240" w:beforeAutospacing="0" w:after="75" w:afterAutospacing="0" w:line="480" w:lineRule="auto"/>
        <w:rPr>
          <w:b w:val="0"/>
          <w:bCs w:val="0"/>
          <w:color w:val="1A1A1A"/>
          <w:sz w:val="24"/>
          <w:szCs w:val="24"/>
        </w:rPr>
      </w:pPr>
      <w:r w:rsidRPr="00D31A97">
        <w:rPr>
          <w:b w:val="0"/>
          <w:bCs w:val="0"/>
          <w:color w:val="1A1A1A"/>
          <w:sz w:val="24"/>
          <w:szCs w:val="24"/>
        </w:rPr>
        <w:t>584 U.S. ___ (2018)</w:t>
      </w:r>
    </w:p>
    <w:p w14:paraId="29331B46" w14:textId="79326001" w:rsidR="009E7648" w:rsidRPr="003C4B40" w:rsidRDefault="009E7648" w:rsidP="00F154EB">
      <w:pPr>
        <w:spacing w:before="100" w:beforeAutospacing="1" w:after="100" w:afterAutospacing="1" w:line="480" w:lineRule="auto"/>
        <w:rPr>
          <w:rFonts w:ascii="Times New Roman" w:eastAsia="Times New Roman" w:hAnsi="Times New Roman" w:cs="Times New Roman"/>
        </w:rPr>
      </w:pPr>
    </w:p>
    <w:sectPr w:rsidR="009E7648" w:rsidRPr="003C4B40" w:rsidSect="0048644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FEB6" w14:textId="77777777" w:rsidR="000D16CA" w:rsidRDefault="000D16CA" w:rsidP="00AB7C13">
      <w:r>
        <w:separator/>
      </w:r>
    </w:p>
  </w:endnote>
  <w:endnote w:type="continuationSeparator" w:id="0">
    <w:p w14:paraId="187078D9" w14:textId="77777777" w:rsidR="000D16CA" w:rsidRDefault="000D16CA" w:rsidP="00AB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7FF7" w14:textId="77777777" w:rsidR="000D16CA" w:rsidRDefault="000D16CA" w:rsidP="00AB7C13">
      <w:r>
        <w:separator/>
      </w:r>
    </w:p>
  </w:footnote>
  <w:footnote w:type="continuationSeparator" w:id="0">
    <w:p w14:paraId="3F66906E" w14:textId="77777777" w:rsidR="000D16CA" w:rsidRDefault="000D16CA" w:rsidP="00AB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400226"/>
      <w:docPartObj>
        <w:docPartGallery w:val="Page Numbers (Top of Page)"/>
        <w:docPartUnique/>
      </w:docPartObj>
    </w:sdtPr>
    <w:sdtEndPr>
      <w:rPr>
        <w:rStyle w:val="PageNumber"/>
      </w:rPr>
    </w:sdtEndPr>
    <w:sdtContent>
      <w:p w14:paraId="717C74E3" w14:textId="7E507850" w:rsidR="00AB7C13" w:rsidRDefault="00AB7C13" w:rsidP="00B832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8F687" w14:textId="77777777" w:rsidR="00AB7C13" w:rsidRDefault="00AB7C13" w:rsidP="00AB7C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3017036"/>
      <w:docPartObj>
        <w:docPartGallery w:val="Page Numbers (Top of Page)"/>
        <w:docPartUnique/>
      </w:docPartObj>
    </w:sdtPr>
    <w:sdtEndPr>
      <w:rPr>
        <w:rStyle w:val="PageNumber"/>
      </w:rPr>
    </w:sdtEndPr>
    <w:sdtContent>
      <w:p w14:paraId="291AEAE4" w14:textId="4E03531C" w:rsidR="00AB7C13" w:rsidRDefault="00AB7C13" w:rsidP="00B832D8">
        <w:pPr>
          <w:pStyle w:val="Header"/>
          <w:framePr w:wrap="none" w:vAnchor="text" w:hAnchor="margin" w:xAlign="right" w:y="1"/>
          <w:rPr>
            <w:rStyle w:val="PageNumber"/>
          </w:rPr>
        </w:pPr>
        <w:r>
          <w:rPr>
            <w:rStyle w:val="PageNumber"/>
          </w:rPr>
          <w:t xml:space="preserve">Gutierrez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029C4E" w14:textId="77777777" w:rsidR="00AB7C13" w:rsidRDefault="00AB7C13" w:rsidP="00AB7C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52FAE"/>
    <w:multiLevelType w:val="hybridMultilevel"/>
    <w:tmpl w:val="E6E0E180"/>
    <w:lvl w:ilvl="0" w:tplc="26027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695317C"/>
    <w:multiLevelType w:val="hybridMultilevel"/>
    <w:tmpl w:val="C85ACBB2"/>
    <w:lvl w:ilvl="0" w:tplc="94E22D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0496A"/>
    <w:multiLevelType w:val="hybridMultilevel"/>
    <w:tmpl w:val="E6E0E180"/>
    <w:lvl w:ilvl="0" w:tplc="26027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2B"/>
    <w:rsid w:val="0000172E"/>
    <w:rsid w:val="0000291E"/>
    <w:rsid w:val="00007C16"/>
    <w:rsid w:val="00021979"/>
    <w:rsid w:val="000270CB"/>
    <w:rsid w:val="00053C61"/>
    <w:rsid w:val="00057C69"/>
    <w:rsid w:val="00061679"/>
    <w:rsid w:val="0007209E"/>
    <w:rsid w:val="00083C96"/>
    <w:rsid w:val="000A5D1A"/>
    <w:rsid w:val="000B3F73"/>
    <w:rsid w:val="000C51F1"/>
    <w:rsid w:val="000D16CA"/>
    <w:rsid w:val="001202F3"/>
    <w:rsid w:val="0012094E"/>
    <w:rsid w:val="00131396"/>
    <w:rsid w:val="0013366D"/>
    <w:rsid w:val="00142C47"/>
    <w:rsid w:val="001667E3"/>
    <w:rsid w:val="00177E13"/>
    <w:rsid w:val="0018125B"/>
    <w:rsid w:val="0019393D"/>
    <w:rsid w:val="001A63EB"/>
    <w:rsid w:val="001B16AB"/>
    <w:rsid w:val="001D304D"/>
    <w:rsid w:val="001E732A"/>
    <w:rsid w:val="001F3B8F"/>
    <w:rsid w:val="00227634"/>
    <w:rsid w:val="00267369"/>
    <w:rsid w:val="00281760"/>
    <w:rsid w:val="002847A8"/>
    <w:rsid w:val="002B3379"/>
    <w:rsid w:val="002C2950"/>
    <w:rsid w:val="002F27E1"/>
    <w:rsid w:val="00306562"/>
    <w:rsid w:val="0032776B"/>
    <w:rsid w:val="00362B6A"/>
    <w:rsid w:val="003C4B40"/>
    <w:rsid w:val="003D025F"/>
    <w:rsid w:val="003E5436"/>
    <w:rsid w:val="003F0453"/>
    <w:rsid w:val="004252EE"/>
    <w:rsid w:val="004512C6"/>
    <w:rsid w:val="00454257"/>
    <w:rsid w:val="00475C9F"/>
    <w:rsid w:val="00477AF2"/>
    <w:rsid w:val="00486444"/>
    <w:rsid w:val="004E512B"/>
    <w:rsid w:val="005060BD"/>
    <w:rsid w:val="00510BF2"/>
    <w:rsid w:val="00521917"/>
    <w:rsid w:val="005522F4"/>
    <w:rsid w:val="005C5847"/>
    <w:rsid w:val="005E4D9F"/>
    <w:rsid w:val="00634BA9"/>
    <w:rsid w:val="00644B58"/>
    <w:rsid w:val="006D2373"/>
    <w:rsid w:val="006D31D2"/>
    <w:rsid w:val="006F5BB7"/>
    <w:rsid w:val="00705D1E"/>
    <w:rsid w:val="00707950"/>
    <w:rsid w:val="00724DEF"/>
    <w:rsid w:val="007A6E85"/>
    <w:rsid w:val="007B48A8"/>
    <w:rsid w:val="007E0366"/>
    <w:rsid w:val="007E34B5"/>
    <w:rsid w:val="008114A9"/>
    <w:rsid w:val="00817356"/>
    <w:rsid w:val="008236D5"/>
    <w:rsid w:val="00834233"/>
    <w:rsid w:val="008557F8"/>
    <w:rsid w:val="00865910"/>
    <w:rsid w:val="008B5A5B"/>
    <w:rsid w:val="008C4347"/>
    <w:rsid w:val="008D4AF3"/>
    <w:rsid w:val="008D5027"/>
    <w:rsid w:val="008F7237"/>
    <w:rsid w:val="0090391D"/>
    <w:rsid w:val="009203AE"/>
    <w:rsid w:val="00921C22"/>
    <w:rsid w:val="009340E3"/>
    <w:rsid w:val="009543B9"/>
    <w:rsid w:val="0099329B"/>
    <w:rsid w:val="00993390"/>
    <w:rsid w:val="009A14E2"/>
    <w:rsid w:val="009A39A1"/>
    <w:rsid w:val="009A535A"/>
    <w:rsid w:val="009B7C6E"/>
    <w:rsid w:val="009D1601"/>
    <w:rsid w:val="009D6B99"/>
    <w:rsid w:val="009E74A2"/>
    <w:rsid w:val="009E7648"/>
    <w:rsid w:val="00A00495"/>
    <w:rsid w:val="00A06267"/>
    <w:rsid w:val="00A06CAE"/>
    <w:rsid w:val="00A12918"/>
    <w:rsid w:val="00A439B4"/>
    <w:rsid w:val="00A72126"/>
    <w:rsid w:val="00A7496A"/>
    <w:rsid w:val="00AB2123"/>
    <w:rsid w:val="00AB64F3"/>
    <w:rsid w:val="00AB7C13"/>
    <w:rsid w:val="00AC33D7"/>
    <w:rsid w:val="00AC3917"/>
    <w:rsid w:val="00AC4890"/>
    <w:rsid w:val="00AD50BD"/>
    <w:rsid w:val="00B01515"/>
    <w:rsid w:val="00B05A85"/>
    <w:rsid w:val="00B151B7"/>
    <w:rsid w:val="00B2032D"/>
    <w:rsid w:val="00B341ED"/>
    <w:rsid w:val="00B6023F"/>
    <w:rsid w:val="00B70C46"/>
    <w:rsid w:val="00B77F5C"/>
    <w:rsid w:val="00B83E10"/>
    <w:rsid w:val="00B8771F"/>
    <w:rsid w:val="00BC1E8E"/>
    <w:rsid w:val="00BE1229"/>
    <w:rsid w:val="00BF18FC"/>
    <w:rsid w:val="00C25A30"/>
    <w:rsid w:val="00C25D9C"/>
    <w:rsid w:val="00C34367"/>
    <w:rsid w:val="00C50635"/>
    <w:rsid w:val="00C6749F"/>
    <w:rsid w:val="00C71156"/>
    <w:rsid w:val="00C725D7"/>
    <w:rsid w:val="00C83AAE"/>
    <w:rsid w:val="00CA32CD"/>
    <w:rsid w:val="00CA6D81"/>
    <w:rsid w:val="00CA7DDF"/>
    <w:rsid w:val="00CD43F3"/>
    <w:rsid w:val="00CD46BD"/>
    <w:rsid w:val="00D0180D"/>
    <w:rsid w:val="00D057DA"/>
    <w:rsid w:val="00D223C2"/>
    <w:rsid w:val="00D31A97"/>
    <w:rsid w:val="00D5537F"/>
    <w:rsid w:val="00D64F1A"/>
    <w:rsid w:val="00D830F4"/>
    <w:rsid w:val="00DC2807"/>
    <w:rsid w:val="00DD0A80"/>
    <w:rsid w:val="00DF24D6"/>
    <w:rsid w:val="00E23684"/>
    <w:rsid w:val="00E2522A"/>
    <w:rsid w:val="00E45093"/>
    <w:rsid w:val="00E45EC5"/>
    <w:rsid w:val="00E5287F"/>
    <w:rsid w:val="00E81518"/>
    <w:rsid w:val="00E83351"/>
    <w:rsid w:val="00E918DC"/>
    <w:rsid w:val="00E965F1"/>
    <w:rsid w:val="00EA26D5"/>
    <w:rsid w:val="00EA45D7"/>
    <w:rsid w:val="00EA7E4D"/>
    <w:rsid w:val="00EB31C0"/>
    <w:rsid w:val="00F154EB"/>
    <w:rsid w:val="00F27E41"/>
    <w:rsid w:val="00F44CEF"/>
    <w:rsid w:val="00F53429"/>
    <w:rsid w:val="00F55924"/>
    <w:rsid w:val="00F74604"/>
    <w:rsid w:val="00F74F3E"/>
    <w:rsid w:val="00F81B14"/>
    <w:rsid w:val="00F83DBA"/>
    <w:rsid w:val="00F87B23"/>
    <w:rsid w:val="00F93FEF"/>
    <w:rsid w:val="00FB53BB"/>
    <w:rsid w:val="00FB776D"/>
    <w:rsid w:val="00FC4D47"/>
    <w:rsid w:val="00FF1256"/>
    <w:rsid w:val="00FF4DA2"/>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7C676"/>
  <w15:chartTrackingRefBased/>
  <w15:docId w15:val="{2962A834-BE91-A441-8A2B-619A1BEA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495"/>
  </w:style>
  <w:style w:type="paragraph" w:styleId="Heading1">
    <w:name w:val="heading 1"/>
    <w:basedOn w:val="Normal"/>
    <w:link w:val="Heading1Char"/>
    <w:uiPriority w:val="9"/>
    <w:qFormat/>
    <w:rsid w:val="00D31A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2B"/>
    <w:pPr>
      <w:spacing w:after="160" w:line="259" w:lineRule="auto"/>
      <w:ind w:left="720"/>
      <w:contextualSpacing/>
    </w:pPr>
    <w:rPr>
      <w:sz w:val="22"/>
      <w:szCs w:val="22"/>
    </w:rPr>
  </w:style>
  <w:style w:type="paragraph" w:styleId="NormalWeb">
    <w:name w:val="Normal (Web)"/>
    <w:basedOn w:val="Normal"/>
    <w:uiPriority w:val="99"/>
    <w:semiHidden/>
    <w:unhideWhenUsed/>
    <w:rsid w:val="003C4B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39A1"/>
    <w:rPr>
      <w:color w:val="0563C1" w:themeColor="hyperlink"/>
      <w:u w:val="single"/>
    </w:rPr>
  </w:style>
  <w:style w:type="character" w:styleId="UnresolvedMention">
    <w:name w:val="Unresolved Mention"/>
    <w:basedOn w:val="DefaultParagraphFont"/>
    <w:uiPriority w:val="99"/>
    <w:semiHidden/>
    <w:unhideWhenUsed/>
    <w:rsid w:val="009A39A1"/>
    <w:rPr>
      <w:color w:val="605E5C"/>
      <w:shd w:val="clear" w:color="auto" w:fill="E1DFDD"/>
    </w:rPr>
  </w:style>
  <w:style w:type="character" w:styleId="FollowedHyperlink">
    <w:name w:val="FollowedHyperlink"/>
    <w:basedOn w:val="DefaultParagraphFont"/>
    <w:uiPriority w:val="99"/>
    <w:semiHidden/>
    <w:unhideWhenUsed/>
    <w:rsid w:val="002847A8"/>
    <w:rPr>
      <w:color w:val="954F72" w:themeColor="followedHyperlink"/>
      <w:u w:val="single"/>
    </w:rPr>
  </w:style>
  <w:style w:type="paragraph" w:styleId="Header">
    <w:name w:val="header"/>
    <w:basedOn w:val="Normal"/>
    <w:link w:val="HeaderChar"/>
    <w:uiPriority w:val="99"/>
    <w:unhideWhenUsed/>
    <w:rsid w:val="00AB7C13"/>
    <w:pPr>
      <w:tabs>
        <w:tab w:val="center" w:pos="4680"/>
        <w:tab w:val="right" w:pos="9360"/>
      </w:tabs>
    </w:pPr>
  </w:style>
  <w:style w:type="character" w:customStyle="1" w:styleId="HeaderChar">
    <w:name w:val="Header Char"/>
    <w:basedOn w:val="DefaultParagraphFont"/>
    <w:link w:val="Header"/>
    <w:uiPriority w:val="99"/>
    <w:rsid w:val="00AB7C13"/>
  </w:style>
  <w:style w:type="paragraph" w:styleId="Footer">
    <w:name w:val="footer"/>
    <w:basedOn w:val="Normal"/>
    <w:link w:val="FooterChar"/>
    <w:uiPriority w:val="99"/>
    <w:unhideWhenUsed/>
    <w:rsid w:val="00AB7C13"/>
    <w:pPr>
      <w:tabs>
        <w:tab w:val="center" w:pos="4680"/>
        <w:tab w:val="right" w:pos="9360"/>
      </w:tabs>
    </w:pPr>
  </w:style>
  <w:style w:type="character" w:customStyle="1" w:styleId="FooterChar">
    <w:name w:val="Footer Char"/>
    <w:basedOn w:val="DefaultParagraphFont"/>
    <w:link w:val="Footer"/>
    <w:uiPriority w:val="99"/>
    <w:rsid w:val="00AB7C13"/>
  </w:style>
  <w:style w:type="character" w:styleId="PageNumber">
    <w:name w:val="page number"/>
    <w:basedOn w:val="DefaultParagraphFont"/>
    <w:uiPriority w:val="99"/>
    <w:semiHidden/>
    <w:unhideWhenUsed/>
    <w:rsid w:val="00AB7C13"/>
  </w:style>
  <w:style w:type="character" w:styleId="CommentReference">
    <w:name w:val="annotation reference"/>
    <w:basedOn w:val="DefaultParagraphFont"/>
    <w:uiPriority w:val="99"/>
    <w:semiHidden/>
    <w:unhideWhenUsed/>
    <w:rsid w:val="00E5287F"/>
    <w:rPr>
      <w:sz w:val="16"/>
      <w:szCs w:val="16"/>
    </w:rPr>
  </w:style>
  <w:style w:type="paragraph" w:styleId="CommentText">
    <w:name w:val="annotation text"/>
    <w:basedOn w:val="Normal"/>
    <w:link w:val="CommentTextChar"/>
    <w:uiPriority w:val="99"/>
    <w:unhideWhenUsed/>
    <w:rsid w:val="00E5287F"/>
    <w:rPr>
      <w:sz w:val="20"/>
      <w:szCs w:val="20"/>
    </w:rPr>
  </w:style>
  <w:style w:type="character" w:customStyle="1" w:styleId="CommentTextChar">
    <w:name w:val="Comment Text Char"/>
    <w:basedOn w:val="DefaultParagraphFont"/>
    <w:link w:val="CommentText"/>
    <w:uiPriority w:val="99"/>
    <w:rsid w:val="00E5287F"/>
    <w:rPr>
      <w:sz w:val="20"/>
      <w:szCs w:val="20"/>
    </w:rPr>
  </w:style>
  <w:style w:type="paragraph" w:styleId="CommentSubject">
    <w:name w:val="annotation subject"/>
    <w:basedOn w:val="CommentText"/>
    <w:next w:val="CommentText"/>
    <w:link w:val="CommentSubjectChar"/>
    <w:uiPriority w:val="99"/>
    <w:semiHidden/>
    <w:unhideWhenUsed/>
    <w:rsid w:val="00E5287F"/>
    <w:rPr>
      <w:b/>
      <w:bCs/>
    </w:rPr>
  </w:style>
  <w:style w:type="character" w:customStyle="1" w:styleId="CommentSubjectChar">
    <w:name w:val="Comment Subject Char"/>
    <w:basedOn w:val="CommentTextChar"/>
    <w:link w:val="CommentSubject"/>
    <w:uiPriority w:val="99"/>
    <w:semiHidden/>
    <w:rsid w:val="00E5287F"/>
    <w:rPr>
      <w:b/>
      <w:bCs/>
      <w:sz w:val="20"/>
      <w:szCs w:val="20"/>
    </w:rPr>
  </w:style>
  <w:style w:type="character" w:customStyle="1" w:styleId="Heading1Char">
    <w:name w:val="Heading 1 Char"/>
    <w:basedOn w:val="DefaultParagraphFont"/>
    <w:link w:val="Heading1"/>
    <w:uiPriority w:val="9"/>
    <w:rsid w:val="00D31A9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2651">
      <w:bodyDiv w:val="1"/>
      <w:marLeft w:val="0"/>
      <w:marRight w:val="0"/>
      <w:marTop w:val="0"/>
      <w:marBottom w:val="0"/>
      <w:divBdr>
        <w:top w:val="none" w:sz="0" w:space="0" w:color="auto"/>
        <w:left w:val="none" w:sz="0" w:space="0" w:color="auto"/>
        <w:bottom w:val="none" w:sz="0" w:space="0" w:color="auto"/>
        <w:right w:val="none" w:sz="0" w:space="0" w:color="auto"/>
      </w:divBdr>
    </w:div>
    <w:div w:id="160127463">
      <w:bodyDiv w:val="1"/>
      <w:marLeft w:val="0"/>
      <w:marRight w:val="0"/>
      <w:marTop w:val="0"/>
      <w:marBottom w:val="0"/>
      <w:divBdr>
        <w:top w:val="none" w:sz="0" w:space="0" w:color="auto"/>
        <w:left w:val="none" w:sz="0" w:space="0" w:color="auto"/>
        <w:bottom w:val="none" w:sz="0" w:space="0" w:color="auto"/>
        <w:right w:val="none" w:sz="0" w:space="0" w:color="auto"/>
      </w:divBdr>
    </w:div>
    <w:div w:id="403063525">
      <w:bodyDiv w:val="1"/>
      <w:marLeft w:val="0"/>
      <w:marRight w:val="0"/>
      <w:marTop w:val="0"/>
      <w:marBottom w:val="0"/>
      <w:divBdr>
        <w:top w:val="none" w:sz="0" w:space="0" w:color="auto"/>
        <w:left w:val="none" w:sz="0" w:space="0" w:color="auto"/>
        <w:bottom w:val="none" w:sz="0" w:space="0" w:color="auto"/>
        <w:right w:val="none" w:sz="0" w:space="0" w:color="auto"/>
      </w:divBdr>
    </w:div>
    <w:div w:id="427777416">
      <w:bodyDiv w:val="1"/>
      <w:marLeft w:val="0"/>
      <w:marRight w:val="0"/>
      <w:marTop w:val="0"/>
      <w:marBottom w:val="0"/>
      <w:divBdr>
        <w:top w:val="none" w:sz="0" w:space="0" w:color="auto"/>
        <w:left w:val="none" w:sz="0" w:space="0" w:color="auto"/>
        <w:bottom w:val="none" w:sz="0" w:space="0" w:color="auto"/>
        <w:right w:val="none" w:sz="0" w:space="0" w:color="auto"/>
      </w:divBdr>
    </w:div>
    <w:div w:id="484398867">
      <w:bodyDiv w:val="1"/>
      <w:marLeft w:val="0"/>
      <w:marRight w:val="0"/>
      <w:marTop w:val="0"/>
      <w:marBottom w:val="0"/>
      <w:divBdr>
        <w:top w:val="none" w:sz="0" w:space="0" w:color="auto"/>
        <w:left w:val="none" w:sz="0" w:space="0" w:color="auto"/>
        <w:bottom w:val="none" w:sz="0" w:space="0" w:color="auto"/>
        <w:right w:val="none" w:sz="0" w:space="0" w:color="auto"/>
      </w:divBdr>
    </w:div>
    <w:div w:id="728305661">
      <w:bodyDiv w:val="1"/>
      <w:marLeft w:val="0"/>
      <w:marRight w:val="0"/>
      <w:marTop w:val="0"/>
      <w:marBottom w:val="0"/>
      <w:divBdr>
        <w:top w:val="none" w:sz="0" w:space="0" w:color="auto"/>
        <w:left w:val="none" w:sz="0" w:space="0" w:color="auto"/>
        <w:bottom w:val="none" w:sz="0" w:space="0" w:color="auto"/>
        <w:right w:val="none" w:sz="0" w:space="0" w:color="auto"/>
      </w:divBdr>
    </w:div>
    <w:div w:id="941298767">
      <w:bodyDiv w:val="1"/>
      <w:marLeft w:val="0"/>
      <w:marRight w:val="0"/>
      <w:marTop w:val="0"/>
      <w:marBottom w:val="0"/>
      <w:divBdr>
        <w:top w:val="none" w:sz="0" w:space="0" w:color="auto"/>
        <w:left w:val="none" w:sz="0" w:space="0" w:color="auto"/>
        <w:bottom w:val="none" w:sz="0" w:space="0" w:color="auto"/>
        <w:right w:val="none" w:sz="0" w:space="0" w:color="auto"/>
      </w:divBdr>
      <w:divsChild>
        <w:div w:id="1462382070">
          <w:marLeft w:val="0"/>
          <w:marRight w:val="0"/>
          <w:marTop w:val="0"/>
          <w:marBottom w:val="0"/>
          <w:divBdr>
            <w:top w:val="none" w:sz="0" w:space="0" w:color="auto"/>
            <w:left w:val="none" w:sz="0" w:space="0" w:color="auto"/>
            <w:bottom w:val="none" w:sz="0" w:space="0" w:color="auto"/>
            <w:right w:val="none" w:sz="0" w:space="0" w:color="auto"/>
          </w:divBdr>
        </w:div>
        <w:div w:id="1529830965">
          <w:marLeft w:val="0"/>
          <w:marRight w:val="0"/>
          <w:marTop w:val="0"/>
          <w:marBottom w:val="0"/>
          <w:divBdr>
            <w:top w:val="none" w:sz="0" w:space="0" w:color="auto"/>
            <w:left w:val="none" w:sz="0" w:space="0" w:color="auto"/>
            <w:bottom w:val="none" w:sz="0" w:space="0" w:color="auto"/>
            <w:right w:val="none" w:sz="0" w:space="0" w:color="auto"/>
          </w:divBdr>
        </w:div>
      </w:divsChild>
    </w:div>
    <w:div w:id="1048411950">
      <w:bodyDiv w:val="1"/>
      <w:marLeft w:val="0"/>
      <w:marRight w:val="0"/>
      <w:marTop w:val="0"/>
      <w:marBottom w:val="0"/>
      <w:divBdr>
        <w:top w:val="none" w:sz="0" w:space="0" w:color="auto"/>
        <w:left w:val="none" w:sz="0" w:space="0" w:color="auto"/>
        <w:bottom w:val="none" w:sz="0" w:space="0" w:color="auto"/>
        <w:right w:val="none" w:sz="0" w:space="0" w:color="auto"/>
      </w:divBdr>
    </w:div>
    <w:div w:id="1156841690">
      <w:bodyDiv w:val="1"/>
      <w:marLeft w:val="0"/>
      <w:marRight w:val="0"/>
      <w:marTop w:val="0"/>
      <w:marBottom w:val="0"/>
      <w:divBdr>
        <w:top w:val="none" w:sz="0" w:space="0" w:color="auto"/>
        <w:left w:val="none" w:sz="0" w:space="0" w:color="auto"/>
        <w:bottom w:val="none" w:sz="0" w:space="0" w:color="auto"/>
        <w:right w:val="none" w:sz="0" w:space="0" w:color="auto"/>
      </w:divBdr>
    </w:div>
    <w:div w:id="1480265332">
      <w:bodyDiv w:val="1"/>
      <w:marLeft w:val="0"/>
      <w:marRight w:val="0"/>
      <w:marTop w:val="0"/>
      <w:marBottom w:val="0"/>
      <w:divBdr>
        <w:top w:val="none" w:sz="0" w:space="0" w:color="auto"/>
        <w:left w:val="none" w:sz="0" w:space="0" w:color="auto"/>
        <w:bottom w:val="none" w:sz="0" w:space="0" w:color="auto"/>
        <w:right w:val="none" w:sz="0" w:space="0" w:color="auto"/>
      </w:divBdr>
    </w:div>
    <w:div w:id="1702515287">
      <w:bodyDiv w:val="1"/>
      <w:marLeft w:val="0"/>
      <w:marRight w:val="0"/>
      <w:marTop w:val="0"/>
      <w:marBottom w:val="0"/>
      <w:divBdr>
        <w:top w:val="none" w:sz="0" w:space="0" w:color="auto"/>
        <w:left w:val="none" w:sz="0" w:space="0" w:color="auto"/>
        <w:bottom w:val="none" w:sz="0" w:space="0" w:color="auto"/>
        <w:right w:val="none" w:sz="0" w:space="0" w:color="auto"/>
      </w:divBdr>
    </w:div>
    <w:div w:id="1841431918">
      <w:bodyDiv w:val="1"/>
      <w:marLeft w:val="0"/>
      <w:marRight w:val="0"/>
      <w:marTop w:val="0"/>
      <w:marBottom w:val="0"/>
      <w:divBdr>
        <w:top w:val="none" w:sz="0" w:space="0" w:color="auto"/>
        <w:left w:val="none" w:sz="0" w:space="0" w:color="auto"/>
        <w:bottom w:val="none" w:sz="0" w:space="0" w:color="auto"/>
        <w:right w:val="none" w:sz="0" w:space="0" w:color="auto"/>
      </w:divBdr>
    </w:div>
    <w:div w:id="1935355803">
      <w:bodyDiv w:val="1"/>
      <w:marLeft w:val="0"/>
      <w:marRight w:val="0"/>
      <w:marTop w:val="0"/>
      <w:marBottom w:val="0"/>
      <w:divBdr>
        <w:top w:val="none" w:sz="0" w:space="0" w:color="auto"/>
        <w:left w:val="none" w:sz="0" w:space="0" w:color="auto"/>
        <w:bottom w:val="none" w:sz="0" w:space="0" w:color="auto"/>
        <w:right w:val="none" w:sz="0" w:space="0" w:color="auto"/>
      </w:divBdr>
    </w:div>
    <w:div w:id="21098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ericanbar.org/groups/litigation/committees/alternative-dispute-resolution/practice/2020/increase-in-workers-subject-to-arbitration-coincides-with-supreme-court-ru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Gutierrez</dc:creator>
  <cp:keywords/>
  <dc:description/>
  <cp:lastModifiedBy>Giovanni Gutierrez</cp:lastModifiedBy>
  <cp:revision>157</cp:revision>
  <dcterms:created xsi:type="dcterms:W3CDTF">2021-04-12T13:58:00Z</dcterms:created>
  <dcterms:modified xsi:type="dcterms:W3CDTF">2021-04-15T19:15:00Z</dcterms:modified>
</cp:coreProperties>
</file>