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F9FE" w14:textId="22262428" w:rsidR="00E24045" w:rsidRPr="009F6DE6" w:rsidRDefault="001E1444" w:rsidP="009F6DE6">
      <w:pPr>
        <w:spacing w:line="480" w:lineRule="auto"/>
        <w:rPr>
          <w:rFonts w:ascii="Times New Roman" w:hAnsi="Times New Roman" w:cs="Times New Roman"/>
        </w:rPr>
      </w:pPr>
      <w:r w:rsidRPr="009F6DE6">
        <w:rPr>
          <w:rFonts w:ascii="Times New Roman" w:hAnsi="Times New Roman" w:cs="Times New Roman"/>
        </w:rPr>
        <w:t>Natalie Harder</w:t>
      </w:r>
    </w:p>
    <w:p w14:paraId="04D3049E" w14:textId="1A7C5E27" w:rsidR="001E1444" w:rsidRPr="009F6DE6" w:rsidRDefault="001E1444" w:rsidP="009F6DE6">
      <w:pPr>
        <w:spacing w:line="480" w:lineRule="auto"/>
        <w:rPr>
          <w:rFonts w:ascii="Times New Roman" w:hAnsi="Times New Roman" w:cs="Times New Roman"/>
        </w:rPr>
      </w:pPr>
      <w:r w:rsidRPr="009F6DE6">
        <w:rPr>
          <w:rFonts w:ascii="Times New Roman" w:hAnsi="Times New Roman" w:cs="Times New Roman"/>
        </w:rPr>
        <w:t>GOVT-210</w:t>
      </w:r>
      <w:r w:rsidR="00364B71" w:rsidRPr="009F6DE6">
        <w:rPr>
          <w:rFonts w:ascii="Times New Roman" w:hAnsi="Times New Roman" w:cs="Times New Roman"/>
        </w:rPr>
        <w:t>-004</w:t>
      </w:r>
    </w:p>
    <w:p w14:paraId="7A1DD5CA" w14:textId="7CF6BBC3" w:rsidR="00F24DAA" w:rsidRPr="009F6DE6" w:rsidRDefault="003524B6" w:rsidP="009F6DE6">
      <w:pPr>
        <w:spacing w:line="480" w:lineRule="auto"/>
        <w:jc w:val="center"/>
        <w:rPr>
          <w:rFonts w:ascii="Times New Roman" w:hAnsi="Times New Roman" w:cs="Times New Roman"/>
          <w:u w:val="single"/>
        </w:rPr>
      </w:pPr>
      <w:r>
        <w:rPr>
          <w:rFonts w:ascii="Times New Roman" w:hAnsi="Times New Roman" w:cs="Times New Roman"/>
          <w:u w:val="single"/>
        </w:rPr>
        <w:t>The National Family Planning and Reproductive Health Association</w:t>
      </w:r>
      <w:r w:rsidR="001E1444" w:rsidRPr="009F6DE6">
        <w:rPr>
          <w:rFonts w:ascii="Times New Roman" w:hAnsi="Times New Roman" w:cs="Times New Roman"/>
          <w:u w:val="single"/>
        </w:rPr>
        <w:t xml:space="preserve"> &amp; the Affordable Care Act</w:t>
      </w:r>
    </w:p>
    <w:p w14:paraId="0809129E" w14:textId="3185CC0E" w:rsidR="00364B71" w:rsidRPr="009F6DE6" w:rsidRDefault="001E1444" w:rsidP="009F6DE6">
      <w:pPr>
        <w:spacing w:line="480" w:lineRule="auto"/>
        <w:ind w:firstLine="720"/>
        <w:rPr>
          <w:rFonts w:ascii="Times New Roman" w:hAnsi="Times New Roman" w:cs="Times New Roman"/>
          <w:u w:val="single"/>
        </w:rPr>
      </w:pPr>
      <w:r w:rsidRPr="009F6DE6">
        <w:rPr>
          <w:rFonts w:ascii="Times New Roman" w:hAnsi="Times New Roman" w:cs="Times New Roman"/>
        </w:rPr>
        <w:t>The National Family Planning and Reproductive Health</w:t>
      </w:r>
      <w:r w:rsidR="00F24F45">
        <w:rPr>
          <w:rFonts w:ascii="Times New Roman" w:hAnsi="Times New Roman" w:cs="Times New Roman"/>
        </w:rPr>
        <w:t xml:space="preserve"> Association</w:t>
      </w:r>
      <w:r w:rsidRPr="009F6DE6">
        <w:rPr>
          <w:rFonts w:ascii="Times New Roman" w:hAnsi="Times New Roman" w:cs="Times New Roman"/>
        </w:rPr>
        <w:t xml:space="preserve"> (NFPRHA) is a non-partisan 501(c) membership association that </w:t>
      </w:r>
      <w:r w:rsidR="00D33624" w:rsidRPr="009F6DE6">
        <w:rPr>
          <w:rFonts w:ascii="Times New Roman" w:hAnsi="Times New Roman" w:cs="Times New Roman"/>
        </w:rPr>
        <w:t>focus</w:t>
      </w:r>
      <w:r w:rsidR="00CF2956">
        <w:rPr>
          <w:rFonts w:ascii="Times New Roman" w:hAnsi="Times New Roman" w:cs="Times New Roman"/>
        </w:rPr>
        <w:t>es on</w:t>
      </w:r>
      <w:r w:rsidR="00D33624" w:rsidRPr="009F6DE6">
        <w:rPr>
          <w:rFonts w:ascii="Times New Roman" w:hAnsi="Times New Roman" w:cs="Times New Roman"/>
        </w:rPr>
        <w:t xml:space="preserve"> </w:t>
      </w:r>
      <w:r w:rsidRPr="009F6DE6">
        <w:rPr>
          <w:rFonts w:ascii="Times New Roman" w:hAnsi="Times New Roman" w:cs="Times New Roman"/>
        </w:rPr>
        <w:t>family planning and sexual health advocacy, improving service delivery, and healthcare analysis and strategy.</w:t>
      </w:r>
      <w:r w:rsidRPr="009F6DE6">
        <w:rPr>
          <w:rStyle w:val="FootnoteReference"/>
          <w:rFonts w:ascii="Times New Roman" w:hAnsi="Times New Roman" w:cs="Times New Roman"/>
        </w:rPr>
        <w:footnoteReference w:id="1"/>
      </w:r>
      <w:r w:rsidR="00D33624" w:rsidRPr="009F6DE6">
        <w:rPr>
          <w:rFonts w:ascii="Times New Roman" w:hAnsi="Times New Roman" w:cs="Times New Roman"/>
        </w:rPr>
        <w:t xml:space="preserve"> NFPRHA’s mission is to in</w:t>
      </w:r>
      <w:r w:rsidR="009349BB">
        <w:rPr>
          <w:rFonts w:ascii="Times New Roman" w:hAnsi="Times New Roman" w:cs="Times New Roman"/>
        </w:rPr>
        <w:t>crease</w:t>
      </w:r>
      <w:r w:rsidR="00D33624" w:rsidRPr="009F6DE6">
        <w:rPr>
          <w:rFonts w:ascii="Times New Roman" w:hAnsi="Times New Roman" w:cs="Times New Roman"/>
          <w:color w:val="000000"/>
        </w:rPr>
        <w:t xml:space="preserve"> accessibility to “high-quality, client-centered, affordable, and comprehensive family planning and sexual health care from providers of </w:t>
      </w:r>
      <w:r w:rsidR="00A9515E">
        <w:rPr>
          <w:rFonts w:ascii="Times New Roman" w:hAnsi="Times New Roman" w:cs="Times New Roman"/>
          <w:color w:val="000000"/>
        </w:rPr>
        <w:t>[the patient’s]</w:t>
      </w:r>
      <w:r w:rsidR="00D33624" w:rsidRPr="009F6DE6">
        <w:rPr>
          <w:rFonts w:ascii="Times New Roman" w:hAnsi="Times New Roman" w:cs="Times New Roman"/>
          <w:color w:val="000000"/>
        </w:rPr>
        <w:t xml:space="preserve"> choice”</w:t>
      </w:r>
      <w:r w:rsidR="00D33624" w:rsidRPr="009F6DE6">
        <w:rPr>
          <w:rStyle w:val="FootnoteReference"/>
          <w:rFonts w:ascii="Times New Roman" w:hAnsi="Times New Roman" w:cs="Times New Roman"/>
          <w:color w:val="000000"/>
        </w:rPr>
        <w:footnoteReference w:id="2"/>
      </w:r>
      <w:r w:rsidR="00D33624" w:rsidRPr="009F6DE6">
        <w:rPr>
          <w:rFonts w:ascii="Times New Roman" w:hAnsi="Times New Roman" w:cs="Times New Roman"/>
          <w:color w:val="000000"/>
        </w:rPr>
        <w:t xml:space="preserve"> </w:t>
      </w:r>
      <w:r w:rsidR="00D33624" w:rsidRPr="009F6DE6">
        <w:rPr>
          <w:rFonts w:ascii="Times New Roman" w:hAnsi="Times New Roman" w:cs="Times New Roman"/>
        </w:rPr>
        <w:t>in coordination with a coalition of practitioners within family planning.</w:t>
      </w:r>
      <w:r w:rsidR="00D33624" w:rsidRPr="009F6DE6">
        <w:rPr>
          <w:rStyle w:val="FootnoteReference"/>
          <w:rFonts w:ascii="Times New Roman" w:hAnsi="Times New Roman" w:cs="Times New Roman"/>
        </w:rPr>
        <w:footnoteReference w:id="3"/>
      </w:r>
      <w:r w:rsidR="00D33624" w:rsidRPr="009F6DE6">
        <w:rPr>
          <w:rFonts w:ascii="Times New Roman" w:hAnsi="Times New Roman" w:cs="Times New Roman"/>
        </w:rPr>
        <w:t xml:space="preserve"> </w:t>
      </w:r>
      <w:r w:rsidR="000971A1" w:rsidRPr="009F6DE6">
        <w:rPr>
          <w:rFonts w:ascii="Times New Roman" w:hAnsi="Times New Roman" w:cs="Times New Roman"/>
        </w:rPr>
        <w:t>Under the leadership of president and CEO Clare Coleman,</w:t>
      </w:r>
      <w:r w:rsidR="000971A1" w:rsidRPr="009F6DE6">
        <w:rPr>
          <w:rStyle w:val="FootnoteReference"/>
          <w:rFonts w:ascii="Times New Roman" w:hAnsi="Times New Roman" w:cs="Times New Roman"/>
        </w:rPr>
        <w:footnoteReference w:id="4"/>
      </w:r>
      <w:r w:rsidR="000971A1" w:rsidRPr="009F6DE6">
        <w:rPr>
          <w:rFonts w:ascii="Times New Roman" w:hAnsi="Times New Roman" w:cs="Times New Roman"/>
        </w:rPr>
        <w:t xml:space="preserve"> the NFPRHA has been an active voice in the formation and implementation </w:t>
      </w:r>
      <w:r w:rsidR="008E7890">
        <w:rPr>
          <w:rFonts w:ascii="Times New Roman" w:hAnsi="Times New Roman" w:cs="Times New Roman"/>
        </w:rPr>
        <w:t xml:space="preserve">of </w:t>
      </w:r>
      <w:r w:rsidR="00364B71" w:rsidRPr="009F6DE6">
        <w:rPr>
          <w:rFonts w:ascii="Times New Roman" w:hAnsi="Times New Roman" w:cs="Times New Roman"/>
        </w:rPr>
        <w:t xml:space="preserve">the </w:t>
      </w:r>
      <w:r w:rsidR="000971A1" w:rsidRPr="009F6DE6">
        <w:rPr>
          <w:rFonts w:ascii="Times New Roman" w:hAnsi="Times New Roman" w:cs="Times New Roman"/>
        </w:rPr>
        <w:t>Affordable Care Act</w:t>
      </w:r>
      <w:r w:rsidR="00F265DB">
        <w:rPr>
          <w:rFonts w:ascii="Times New Roman" w:hAnsi="Times New Roman" w:cs="Times New Roman"/>
        </w:rPr>
        <w:t xml:space="preserve"> as it pertains to family planning and sexual health. </w:t>
      </w:r>
    </w:p>
    <w:p w14:paraId="10BF3A48" w14:textId="2CF4270C" w:rsidR="00586FA4" w:rsidRPr="009F6DE6" w:rsidRDefault="00586FA4" w:rsidP="009F6DE6">
      <w:pPr>
        <w:spacing w:line="480" w:lineRule="auto"/>
        <w:ind w:firstLine="720"/>
        <w:rPr>
          <w:rFonts w:ascii="Times New Roman" w:hAnsi="Times New Roman" w:cs="Times New Roman"/>
        </w:rPr>
      </w:pPr>
      <w:r w:rsidRPr="009F6DE6">
        <w:rPr>
          <w:rFonts w:ascii="Times New Roman" w:hAnsi="Times New Roman" w:cs="Times New Roman"/>
        </w:rPr>
        <w:t>Despite supporting the passage of the final Affordable Care Act</w:t>
      </w:r>
      <w:r w:rsidR="00627AD7" w:rsidRPr="009F6DE6">
        <w:rPr>
          <w:rFonts w:ascii="Times New Roman" w:hAnsi="Times New Roman" w:cs="Times New Roman"/>
        </w:rPr>
        <w:t xml:space="preserve">, </w:t>
      </w:r>
      <w:r w:rsidR="00A268EE" w:rsidRPr="009F6DE6">
        <w:rPr>
          <w:rFonts w:ascii="Times New Roman" w:hAnsi="Times New Roman" w:cs="Times New Roman"/>
        </w:rPr>
        <w:t>the NFPRHA vocally and publicly opposed</w:t>
      </w:r>
      <w:r w:rsidRPr="009F6DE6">
        <w:rPr>
          <w:rFonts w:ascii="Times New Roman" w:hAnsi="Times New Roman" w:cs="Times New Roman"/>
        </w:rPr>
        <w:t xml:space="preserve"> the “Nelson language” included in the bill,</w:t>
      </w:r>
      <w:r w:rsidR="0025321F">
        <w:rPr>
          <w:rStyle w:val="FootnoteReference"/>
          <w:rFonts w:ascii="Times New Roman" w:hAnsi="Times New Roman" w:cs="Times New Roman"/>
        </w:rPr>
        <w:footnoteReference w:id="5"/>
      </w:r>
      <w:r w:rsidRPr="009F6DE6">
        <w:rPr>
          <w:rFonts w:ascii="Times New Roman" w:hAnsi="Times New Roman" w:cs="Times New Roman"/>
        </w:rPr>
        <w:t xml:space="preserve"> which</w:t>
      </w:r>
      <w:r w:rsidR="005E38EE" w:rsidRPr="009F6DE6">
        <w:rPr>
          <w:rFonts w:ascii="Times New Roman" w:hAnsi="Times New Roman" w:cs="Times New Roman"/>
        </w:rPr>
        <w:t xml:space="preserve"> arbitrarily</w:t>
      </w:r>
      <w:r w:rsidRPr="009F6DE6">
        <w:rPr>
          <w:rFonts w:ascii="Times New Roman" w:hAnsi="Times New Roman" w:cs="Times New Roman"/>
        </w:rPr>
        <w:t xml:space="preserve"> restricted abortion access to gain support from Senator Ben Nelson (D-NE).</w:t>
      </w:r>
      <w:r w:rsidR="001E35CB">
        <w:rPr>
          <w:rStyle w:val="FootnoteReference"/>
          <w:rFonts w:ascii="Times New Roman" w:hAnsi="Times New Roman" w:cs="Times New Roman"/>
        </w:rPr>
        <w:footnoteReference w:id="6"/>
      </w:r>
      <w:r w:rsidRPr="009F6DE6">
        <w:rPr>
          <w:rFonts w:ascii="Times New Roman" w:hAnsi="Times New Roman" w:cs="Times New Roman"/>
        </w:rPr>
        <w:t xml:space="preserve"> </w:t>
      </w:r>
      <w:r w:rsidR="00F21854" w:rsidRPr="009F6DE6">
        <w:rPr>
          <w:rFonts w:ascii="Times New Roman" w:hAnsi="Times New Roman" w:cs="Times New Roman"/>
        </w:rPr>
        <w:t>The Nelson language</w:t>
      </w:r>
      <w:r w:rsidR="001305DE" w:rsidRPr="009F6DE6">
        <w:rPr>
          <w:rFonts w:ascii="Times New Roman" w:hAnsi="Times New Roman" w:cs="Times New Roman"/>
        </w:rPr>
        <w:t>, which</w:t>
      </w:r>
      <w:r w:rsidR="00F21854" w:rsidRPr="009F6DE6">
        <w:rPr>
          <w:rFonts w:ascii="Times New Roman" w:hAnsi="Times New Roman" w:cs="Times New Roman"/>
        </w:rPr>
        <w:t xml:space="preserve"> segregate</w:t>
      </w:r>
      <w:r w:rsidR="00A74F7E">
        <w:rPr>
          <w:rFonts w:ascii="Times New Roman" w:hAnsi="Times New Roman" w:cs="Times New Roman"/>
        </w:rPr>
        <w:t>s</w:t>
      </w:r>
      <w:r w:rsidR="00F21854" w:rsidRPr="009F6DE6">
        <w:rPr>
          <w:rFonts w:ascii="Times New Roman" w:hAnsi="Times New Roman" w:cs="Times New Roman"/>
        </w:rPr>
        <w:t xml:space="preserve"> abortion </w:t>
      </w:r>
      <w:r w:rsidR="0072700D">
        <w:rPr>
          <w:rFonts w:ascii="Times New Roman" w:hAnsi="Times New Roman" w:cs="Times New Roman"/>
        </w:rPr>
        <w:t xml:space="preserve">payments </w:t>
      </w:r>
      <w:r w:rsidR="00F21854" w:rsidRPr="009F6DE6">
        <w:rPr>
          <w:rFonts w:ascii="Times New Roman" w:hAnsi="Times New Roman" w:cs="Times New Roman"/>
        </w:rPr>
        <w:t xml:space="preserve">from other healthcare fees </w:t>
      </w:r>
      <w:r w:rsidR="00E854D9">
        <w:rPr>
          <w:rFonts w:ascii="Times New Roman" w:hAnsi="Times New Roman" w:cs="Times New Roman"/>
        </w:rPr>
        <w:t>and</w:t>
      </w:r>
      <w:r w:rsidR="00F21854" w:rsidRPr="009F6DE6">
        <w:rPr>
          <w:rFonts w:ascii="Times New Roman" w:hAnsi="Times New Roman" w:cs="Times New Roman"/>
        </w:rPr>
        <w:t xml:space="preserve"> burdens both the healthcare provider and </w:t>
      </w:r>
      <w:r w:rsidR="00BC1671">
        <w:rPr>
          <w:rFonts w:ascii="Times New Roman" w:hAnsi="Times New Roman" w:cs="Times New Roman"/>
        </w:rPr>
        <w:t xml:space="preserve">the </w:t>
      </w:r>
      <w:r w:rsidR="003A671A">
        <w:rPr>
          <w:rFonts w:ascii="Times New Roman" w:hAnsi="Times New Roman" w:cs="Times New Roman"/>
        </w:rPr>
        <w:t>patient</w:t>
      </w:r>
      <w:r w:rsidR="001305DE" w:rsidRPr="009F6DE6">
        <w:rPr>
          <w:rFonts w:ascii="Times New Roman" w:hAnsi="Times New Roman" w:cs="Times New Roman"/>
        </w:rPr>
        <w:t>,</w:t>
      </w:r>
      <w:r w:rsidR="00F21854" w:rsidRPr="009F6DE6">
        <w:rPr>
          <w:rFonts w:ascii="Times New Roman" w:hAnsi="Times New Roman" w:cs="Times New Roman"/>
        </w:rPr>
        <w:t xml:space="preserve"> </w:t>
      </w:r>
      <w:r w:rsidR="001305DE" w:rsidRPr="009F6DE6">
        <w:rPr>
          <w:rFonts w:ascii="Times New Roman" w:hAnsi="Times New Roman" w:cs="Times New Roman"/>
        </w:rPr>
        <w:t xml:space="preserve">was </w:t>
      </w:r>
      <w:r w:rsidR="00F21854" w:rsidRPr="009F6DE6">
        <w:rPr>
          <w:rFonts w:ascii="Times New Roman" w:hAnsi="Times New Roman" w:cs="Times New Roman"/>
        </w:rPr>
        <w:t>upheld by the Office of Management and Budget</w:t>
      </w:r>
      <w:r w:rsidR="001305DE" w:rsidRPr="009F6DE6">
        <w:rPr>
          <w:rFonts w:ascii="Times New Roman" w:hAnsi="Times New Roman" w:cs="Times New Roman"/>
        </w:rPr>
        <w:t xml:space="preserve"> in September </w:t>
      </w:r>
      <w:r w:rsidR="001305DE" w:rsidRPr="009F6DE6">
        <w:rPr>
          <w:rFonts w:ascii="Times New Roman" w:hAnsi="Times New Roman" w:cs="Times New Roman"/>
        </w:rPr>
        <w:lastRenderedPageBreak/>
        <w:t xml:space="preserve">2010 and by President Obama in </w:t>
      </w:r>
      <w:r w:rsidR="001305DE" w:rsidRPr="009F6DE6">
        <w:rPr>
          <w:rFonts w:ascii="Times New Roman" w:hAnsi="Times New Roman" w:cs="Times New Roman"/>
          <w:i/>
          <w:iCs/>
        </w:rPr>
        <w:t>Executive Order 13535- Ensuring Enforcement and Implementation of Abortion Restrictions in the Patient Protection and Affordable Care Act</w:t>
      </w:r>
      <w:r w:rsidR="00F21854" w:rsidRPr="009F6DE6">
        <w:rPr>
          <w:rFonts w:ascii="Times New Roman" w:hAnsi="Times New Roman" w:cs="Times New Roman"/>
        </w:rPr>
        <w:t>.</w:t>
      </w:r>
      <w:r w:rsidR="00F21854" w:rsidRPr="009F6DE6">
        <w:rPr>
          <w:rStyle w:val="FootnoteReference"/>
          <w:rFonts w:ascii="Times New Roman" w:hAnsi="Times New Roman" w:cs="Times New Roman"/>
        </w:rPr>
        <w:footnoteReference w:id="7"/>
      </w:r>
      <w:r w:rsidR="00F21854" w:rsidRPr="009F6DE6">
        <w:rPr>
          <w:rFonts w:ascii="Times New Roman" w:hAnsi="Times New Roman" w:cs="Times New Roman"/>
        </w:rPr>
        <w:t xml:space="preserve"> </w:t>
      </w:r>
    </w:p>
    <w:p w14:paraId="2A281D44" w14:textId="3A778A88" w:rsidR="00966151" w:rsidRPr="009F6DE6" w:rsidRDefault="00FF6862" w:rsidP="009F6DE6">
      <w:pPr>
        <w:spacing w:line="480" w:lineRule="auto"/>
        <w:ind w:firstLine="720"/>
        <w:rPr>
          <w:rFonts w:ascii="Times New Roman" w:eastAsia="Times New Roman" w:hAnsi="Times New Roman" w:cs="Times New Roman"/>
        </w:rPr>
      </w:pPr>
      <w:r w:rsidRPr="009F6DE6">
        <w:rPr>
          <w:rFonts w:ascii="Times New Roman" w:hAnsi="Times New Roman" w:cs="Times New Roman"/>
        </w:rPr>
        <w:t xml:space="preserve">During the Senate debate, </w:t>
      </w:r>
      <w:r w:rsidR="00A268EE" w:rsidRPr="009F6DE6">
        <w:rPr>
          <w:rFonts w:ascii="Times New Roman" w:hAnsi="Times New Roman" w:cs="Times New Roman"/>
        </w:rPr>
        <w:t>Senator Barbara Mikulski (D-MD) proposed a NFPRHA</w:t>
      </w:r>
      <w:r w:rsidR="004B217E">
        <w:rPr>
          <w:rFonts w:ascii="Times New Roman" w:hAnsi="Times New Roman" w:cs="Times New Roman"/>
        </w:rPr>
        <w:t>-</w:t>
      </w:r>
      <w:r w:rsidR="00CF52E6">
        <w:rPr>
          <w:rFonts w:ascii="Times New Roman" w:hAnsi="Times New Roman" w:cs="Times New Roman"/>
        </w:rPr>
        <w:t>supported</w:t>
      </w:r>
      <w:r w:rsidR="00A268EE" w:rsidRPr="009F6DE6">
        <w:rPr>
          <w:rFonts w:ascii="Times New Roman" w:hAnsi="Times New Roman" w:cs="Times New Roman"/>
        </w:rPr>
        <w:t xml:space="preserve"> amendment that provided benefits for women’s health preventive services.</w:t>
      </w:r>
      <w:r w:rsidR="00D660A2" w:rsidRPr="009F6DE6">
        <w:rPr>
          <w:rStyle w:val="FootnoteReference"/>
          <w:rFonts w:ascii="Times New Roman" w:hAnsi="Times New Roman" w:cs="Times New Roman"/>
        </w:rPr>
        <w:footnoteReference w:id="8"/>
      </w:r>
      <w:r w:rsidR="00A268EE" w:rsidRPr="009F6DE6">
        <w:rPr>
          <w:rFonts w:ascii="Times New Roman" w:hAnsi="Times New Roman" w:cs="Times New Roman"/>
        </w:rPr>
        <w:t xml:space="preserve"> </w:t>
      </w:r>
      <w:r w:rsidR="007E05E5" w:rsidRPr="009F6DE6">
        <w:rPr>
          <w:rFonts w:ascii="Times New Roman" w:hAnsi="Times New Roman" w:cs="Times New Roman"/>
        </w:rPr>
        <w:t>This amendment</w:t>
      </w:r>
      <w:r w:rsidR="006B28C4" w:rsidRPr="009F6DE6">
        <w:rPr>
          <w:rFonts w:ascii="Times New Roman" w:hAnsi="Times New Roman" w:cs="Times New Roman"/>
        </w:rPr>
        <w:t xml:space="preserve">, which created the </w:t>
      </w:r>
      <w:r w:rsidR="006B28C4" w:rsidRPr="009F6DE6">
        <w:rPr>
          <w:rFonts w:ascii="Times New Roman" w:eastAsia="Times New Roman" w:hAnsi="Times New Roman" w:cs="Times New Roman"/>
        </w:rPr>
        <w:t>Women’s Health Preventive Services benefit (Section 2173(a)(4) of the Affordable Care Act),</w:t>
      </w:r>
      <w:r w:rsidR="006B28C4" w:rsidRPr="009F6DE6">
        <w:rPr>
          <w:rStyle w:val="FootnoteReference"/>
          <w:rFonts w:ascii="Times New Roman" w:eastAsia="Times New Roman" w:hAnsi="Times New Roman" w:cs="Times New Roman"/>
        </w:rPr>
        <w:footnoteReference w:id="9"/>
      </w:r>
      <w:r w:rsidR="006B28C4" w:rsidRPr="009F6DE6">
        <w:rPr>
          <w:rFonts w:ascii="Times New Roman" w:eastAsia="Times New Roman" w:hAnsi="Times New Roman" w:cs="Times New Roman"/>
        </w:rPr>
        <w:t xml:space="preserve"> </w:t>
      </w:r>
      <w:r w:rsidR="007E05E5" w:rsidRPr="009F6DE6">
        <w:rPr>
          <w:rFonts w:ascii="Times New Roman" w:hAnsi="Times New Roman" w:cs="Times New Roman"/>
        </w:rPr>
        <w:t xml:space="preserve"> helps provide coverage for women’s health services without requiring cost-sharing, which expands the accessibility of the services.</w:t>
      </w:r>
      <w:r w:rsidR="007E05E5" w:rsidRPr="009F6DE6">
        <w:rPr>
          <w:rStyle w:val="FootnoteReference"/>
          <w:rFonts w:ascii="Times New Roman" w:hAnsi="Times New Roman" w:cs="Times New Roman"/>
        </w:rPr>
        <w:footnoteReference w:id="10"/>
      </w:r>
      <w:r w:rsidR="007E05E5" w:rsidRPr="009F6DE6">
        <w:rPr>
          <w:rFonts w:ascii="Times New Roman" w:hAnsi="Times New Roman" w:cs="Times New Roman"/>
        </w:rPr>
        <w:t xml:space="preserve"> </w:t>
      </w:r>
      <w:r w:rsidR="00966151" w:rsidRPr="009F6DE6">
        <w:rPr>
          <w:rFonts w:ascii="Times New Roman" w:hAnsi="Times New Roman" w:cs="Times New Roman"/>
        </w:rPr>
        <w:t>In September 2010</w:t>
      </w:r>
      <w:r w:rsidR="007E05E5" w:rsidRPr="009F6DE6">
        <w:rPr>
          <w:rFonts w:ascii="Times New Roman" w:hAnsi="Times New Roman" w:cs="Times New Roman"/>
        </w:rPr>
        <w:t>, the amendment tasked the Health Resources and Services Administration within the Department of Health and Human Services with defining “preventive service.”</w:t>
      </w:r>
      <w:r w:rsidR="00D660A2" w:rsidRPr="009F6DE6">
        <w:rPr>
          <w:rStyle w:val="FootnoteReference"/>
          <w:rFonts w:ascii="Times New Roman" w:hAnsi="Times New Roman" w:cs="Times New Roman"/>
        </w:rPr>
        <w:footnoteReference w:id="11"/>
      </w:r>
      <w:r w:rsidR="007E05E5" w:rsidRPr="009F6DE6">
        <w:rPr>
          <w:rFonts w:ascii="Times New Roman" w:hAnsi="Times New Roman" w:cs="Times New Roman"/>
        </w:rPr>
        <w:t xml:space="preserve"> </w:t>
      </w:r>
      <w:r w:rsidR="008A5711" w:rsidRPr="009F6DE6">
        <w:rPr>
          <w:rFonts w:ascii="Times New Roman" w:hAnsi="Times New Roman" w:cs="Times New Roman"/>
        </w:rPr>
        <w:t xml:space="preserve">When the HHS and Department of Labor </w:t>
      </w:r>
      <w:r w:rsidR="001311E9" w:rsidRPr="009F6DE6">
        <w:rPr>
          <w:rFonts w:ascii="Times New Roman" w:hAnsi="Times New Roman" w:cs="Times New Roman"/>
        </w:rPr>
        <w:t>published interim rules to define “</w:t>
      </w:r>
      <w:r w:rsidR="009D0BE1">
        <w:rPr>
          <w:rFonts w:ascii="Times New Roman" w:hAnsi="Times New Roman" w:cs="Times New Roman"/>
        </w:rPr>
        <w:t>preventive</w:t>
      </w:r>
      <w:r w:rsidR="001311E9" w:rsidRPr="009F6DE6">
        <w:rPr>
          <w:rFonts w:ascii="Times New Roman" w:hAnsi="Times New Roman" w:cs="Times New Roman"/>
        </w:rPr>
        <w:t xml:space="preserve"> services,”</w:t>
      </w:r>
      <w:r w:rsidR="001311E9" w:rsidRPr="009F6DE6">
        <w:rPr>
          <w:rStyle w:val="FootnoteReference"/>
          <w:rFonts w:ascii="Times New Roman" w:hAnsi="Times New Roman" w:cs="Times New Roman"/>
        </w:rPr>
        <w:footnoteReference w:id="12"/>
      </w:r>
      <w:r w:rsidR="001311E9" w:rsidRPr="009F6DE6">
        <w:rPr>
          <w:rFonts w:ascii="Times New Roman" w:hAnsi="Times New Roman" w:cs="Times New Roman"/>
        </w:rPr>
        <w:t xml:space="preserve"> the NFPRHA submitted formal comments encouraging the Health Resources and Services Administration </w:t>
      </w:r>
      <w:r w:rsidR="00C312A9" w:rsidRPr="009F6DE6">
        <w:rPr>
          <w:rFonts w:ascii="Times New Roman" w:hAnsi="Times New Roman" w:cs="Times New Roman"/>
        </w:rPr>
        <w:t>and Secretary of Health and Human Services</w:t>
      </w:r>
      <w:r w:rsidR="00AC7FB0">
        <w:rPr>
          <w:rFonts w:ascii="Times New Roman" w:hAnsi="Times New Roman" w:cs="Times New Roman"/>
        </w:rPr>
        <w:t>,</w:t>
      </w:r>
      <w:r w:rsidR="00C312A9" w:rsidRPr="009F6DE6">
        <w:rPr>
          <w:rFonts w:ascii="Times New Roman" w:hAnsi="Times New Roman" w:cs="Times New Roman"/>
        </w:rPr>
        <w:t xml:space="preserve"> Kathleen S</w:t>
      </w:r>
      <w:r w:rsidR="00EB60CF" w:rsidRPr="009F6DE6">
        <w:rPr>
          <w:rFonts w:ascii="Times New Roman" w:hAnsi="Times New Roman" w:cs="Times New Roman"/>
        </w:rPr>
        <w:t>e</w:t>
      </w:r>
      <w:r w:rsidR="00C312A9" w:rsidRPr="009F6DE6">
        <w:rPr>
          <w:rFonts w:ascii="Times New Roman" w:hAnsi="Times New Roman" w:cs="Times New Roman"/>
        </w:rPr>
        <w:t>belius</w:t>
      </w:r>
      <w:r w:rsidR="00AC7FB0">
        <w:rPr>
          <w:rFonts w:ascii="Times New Roman" w:hAnsi="Times New Roman" w:cs="Times New Roman"/>
        </w:rPr>
        <w:t>,</w:t>
      </w:r>
      <w:r w:rsidR="00C312A9" w:rsidRPr="009F6DE6">
        <w:rPr>
          <w:rFonts w:ascii="Times New Roman" w:hAnsi="Times New Roman" w:cs="Times New Roman"/>
        </w:rPr>
        <w:t xml:space="preserve"> </w:t>
      </w:r>
      <w:r w:rsidR="001311E9" w:rsidRPr="009F6DE6">
        <w:rPr>
          <w:rFonts w:ascii="Times New Roman" w:hAnsi="Times New Roman" w:cs="Times New Roman"/>
        </w:rPr>
        <w:t>to include a variety of family planning methods</w:t>
      </w:r>
      <w:r w:rsidR="005C5878">
        <w:rPr>
          <w:rFonts w:ascii="Times New Roman" w:hAnsi="Times New Roman" w:cs="Times New Roman"/>
        </w:rPr>
        <w:t>,</w:t>
      </w:r>
      <w:r w:rsidR="001311E9" w:rsidRPr="009F6DE6">
        <w:rPr>
          <w:rFonts w:ascii="Times New Roman" w:hAnsi="Times New Roman" w:cs="Times New Roman"/>
        </w:rPr>
        <w:t xml:space="preserve"> including all FDA approved methods of </w:t>
      </w:r>
      <w:r w:rsidR="006679FD" w:rsidRPr="009F6DE6">
        <w:rPr>
          <w:rFonts w:ascii="Times New Roman" w:hAnsi="Times New Roman" w:cs="Times New Roman"/>
        </w:rPr>
        <w:t>contraception</w:t>
      </w:r>
      <w:r w:rsidR="005C5878">
        <w:rPr>
          <w:rFonts w:ascii="Times New Roman" w:hAnsi="Times New Roman" w:cs="Times New Roman"/>
        </w:rPr>
        <w:t>, in this definition</w:t>
      </w:r>
      <w:r w:rsidR="001311E9" w:rsidRPr="009F6DE6">
        <w:rPr>
          <w:rFonts w:ascii="Times New Roman" w:hAnsi="Times New Roman" w:cs="Times New Roman"/>
        </w:rPr>
        <w:t>.</w:t>
      </w:r>
      <w:r w:rsidR="006679FD" w:rsidRPr="009F6DE6">
        <w:rPr>
          <w:rStyle w:val="FootnoteReference"/>
          <w:rFonts w:ascii="Times New Roman" w:hAnsi="Times New Roman" w:cs="Times New Roman"/>
        </w:rPr>
        <w:footnoteReference w:id="13"/>
      </w:r>
      <w:r w:rsidR="001311E9" w:rsidRPr="009F6DE6">
        <w:rPr>
          <w:rFonts w:ascii="Times New Roman" w:hAnsi="Times New Roman" w:cs="Times New Roman"/>
        </w:rPr>
        <w:t xml:space="preserve"> </w:t>
      </w:r>
      <w:r w:rsidR="0004709E" w:rsidRPr="009F6DE6">
        <w:rPr>
          <w:rFonts w:ascii="Times New Roman" w:hAnsi="Times New Roman" w:cs="Times New Roman"/>
        </w:rPr>
        <w:t>The decision was contracted to the Institute of Medicine, which addressed NFPRHA requests for the evaluation of a variety of family planning services in its decision making process.</w:t>
      </w:r>
      <w:r w:rsidR="0004709E" w:rsidRPr="009F6DE6">
        <w:rPr>
          <w:rStyle w:val="FootnoteReference"/>
          <w:rFonts w:ascii="Times New Roman" w:hAnsi="Times New Roman" w:cs="Times New Roman"/>
        </w:rPr>
        <w:footnoteReference w:id="14"/>
      </w:r>
      <w:r w:rsidR="00AD1695" w:rsidRPr="009F6DE6">
        <w:rPr>
          <w:rFonts w:ascii="Times New Roman" w:hAnsi="Times New Roman" w:cs="Times New Roman"/>
        </w:rPr>
        <w:t xml:space="preserve"> Eventually, IOM </w:t>
      </w:r>
      <w:r w:rsidR="007C5DB0">
        <w:rPr>
          <w:rFonts w:ascii="Times New Roman" w:hAnsi="Times New Roman" w:cs="Times New Roman"/>
        </w:rPr>
        <w:t>defined</w:t>
      </w:r>
      <w:r w:rsidR="00AD1695" w:rsidRPr="009F6DE6">
        <w:rPr>
          <w:rFonts w:ascii="Times New Roman" w:hAnsi="Times New Roman" w:cs="Times New Roman"/>
        </w:rPr>
        <w:t xml:space="preserve"> “preventive services”</w:t>
      </w:r>
      <w:r w:rsidR="007C5DB0">
        <w:rPr>
          <w:rFonts w:ascii="Times New Roman" w:hAnsi="Times New Roman" w:cs="Times New Roman"/>
        </w:rPr>
        <w:t xml:space="preserve"> as</w:t>
      </w:r>
      <w:r w:rsidR="00AD1695" w:rsidRPr="009F6DE6">
        <w:rPr>
          <w:rFonts w:ascii="Times New Roman" w:hAnsi="Times New Roman" w:cs="Times New Roman"/>
        </w:rPr>
        <w:t xml:space="preserve"> “</w:t>
      </w:r>
      <w:r w:rsidR="00AD1695" w:rsidRPr="009F6DE6">
        <w:rPr>
          <w:rFonts w:ascii="Times New Roman" w:eastAsia="Times New Roman" w:hAnsi="Times New Roman" w:cs="Times New Roman"/>
        </w:rPr>
        <w:t xml:space="preserve">measures— including medications, procedures, devices, tests, education, and counseling—shown to improve well-being and/or </w:t>
      </w:r>
      <w:r w:rsidR="00AD1695" w:rsidRPr="009F6DE6">
        <w:rPr>
          <w:rFonts w:ascii="Times New Roman" w:eastAsia="Times New Roman" w:hAnsi="Times New Roman" w:cs="Times New Roman"/>
        </w:rPr>
        <w:lastRenderedPageBreak/>
        <w:t>decrease the likelihood or delay the onset of a targeted disease or condition.”</w:t>
      </w:r>
      <w:r w:rsidR="00AD1695" w:rsidRPr="009F6DE6">
        <w:rPr>
          <w:rStyle w:val="FootnoteReference"/>
          <w:rFonts w:ascii="Times New Roman" w:eastAsia="Times New Roman" w:hAnsi="Times New Roman" w:cs="Times New Roman"/>
        </w:rPr>
        <w:footnoteReference w:id="15"/>
      </w:r>
      <w:r w:rsidR="00AD1695" w:rsidRPr="009F6DE6">
        <w:rPr>
          <w:rFonts w:ascii="Times New Roman" w:eastAsia="Times New Roman" w:hAnsi="Times New Roman" w:cs="Times New Roman"/>
        </w:rPr>
        <w:t xml:space="preserve"> By these standards,</w:t>
      </w:r>
      <w:r w:rsidR="00BC54C4" w:rsidRPr="009F6DE6">
        <w:rPr>
          <w:rFonts w:ascii="Times New Roman" w:eastAsia="Times New Roman" w:hAnsi="Times New Roman" w:cs="Times New Roman"/>
        </w:rPr>
        <w:t xml:space="preserve"> HHS complied with NFPRHA and other organization’s recommendations to include</w:t>
      </w:r>
      <w:r w:rsidR="00AD1695" w:rsidRPr="009F6DE6">
        <w:rPr>
          <w:rFonts w:ascii="Times New Roman" w:eastAsia="Times New Roman" w:hAnsi="Times New Roman" w:cs="Times New Roman"/>
        </w:rPr>
        <w:t xml:space="preserve"> cervical cancer screenings, sexually transmitted disease counseling, HIV counseling</w:t>
      </w:r>
      <w:r w:rsidR="00BC54C4" w:rsidRPr="009F6DE6">
        <w:rPr>
          <w:rFonts w:ascii="Times New Roman" w:eastAsia="Times New Roman" w:hAnsi="Times New Roman" w:cs="Times New Roman"/>
        </w:rPr>
        <w:t>, pregnancy screenings, annual sexual health appointment</w:t>
      </w:r>
      <w:r w:rsidR="007C5DB0">
        <w:rPr>
          <w:rFonts w:ascii="Times New Roman" w:eastAsia="Times New Roman" w:hAnsi="Times New Roman" w:cs="Times New Roman"/>
        </w:rPr>
        <w:t>s</w:t>
      </w:r>
      <w:r w:rsidR="00BC54C4" w:rsidRPr="009F6DE6">
        <w:rPr>
          <w:rFonts w:ascii="Times New Roman" w:eastAsia="Times New Roman" w:hAnsi="Times New Roman" w:cs="Times New Roman"/>
        </w:rPr>
        <w:t xml:space="preserve">, and interpersonal and domestic violence screenings as well as contraception education, methods, counseling, and services in the benefits outlined by the Affordable Care Act. </w:t>
      </w:r>
      <w:r w:rsidR="00B66165" w:rsidRPr="009F6DE6">
        <w:rPr>
          <w:rStyle w:val="FootnoteReference"/>
          <w:rFonts w:ascii="Times New Roman" w:eastAsia="Times New Roman" w:hAnsi="Times New Roman" w:cs="Times New Roman"/>
        </w:rPr>
        <w:footnoteReference w:id="16"/>
      </w:r>
    </w:p>
    <w:p w14:paraId="43F4637C" w14:textId="40DD8AA5" w:rsidR="00D930F2" w:rsidRPr="009F6DE6" w:rsidRDefault="00D755C1" w:rsidP="009F6DE6">
      <w:pPr>
        <w:pStyle w:val="Heading1"/>
        <w:spacing w:line="480" w:lineRule="auto"/>
        <w:ind w:firstLine="720"/>
        <w:rPr>
          <w:b w:val="0"/>
          <w:bCs w:val="0"/>
          <w:color w:val="202A43"/>
          <w:sz w:val="24"/>
          <w:szCs w:val="24"/>
        </w:rPr>
      </w:pPr>
      <w:r w:rsidRPr="009F6DE6">
        <w:rPr>
          <w:b w:val="0"/>
          <w:bCs w:val="0"/>
          <w:sz w:val="24"/>
          <w:szCs w:val="24"/>
        </w:rPr>
        <w:t xml:space="preserve">In March 2010, </w:t>
      </w:r>
      <w:r w:rsidR="002D4446" w:rsidRPr="009F6DE6">
        <w:rPr>
          <w:b w:val="0"/>
          <w:bCs w:val="0"/>
          <w:sz w:val="24"/>
          <w:szCs w:val="24"/>
        </w:rPr>
        <w:t>one week after President Obama signed the Affordable Care Act into law,</w:t>
      </w:r>
      <w:r w:rsidR="002D4446" w:rsidRPr="009F6DE6">
        <w:rPr>
          <w:rStyle w:val="FootnoteReference"/>
          <w:b w:val="0"/>
          <w:bCs w:val="0"/>
          <w:sz w:val="24"/>
          <w:szCs w:val="24"/>
        </w:rPr>
        <w:footnoteReference w:id="17"/>
      </w:r>
      <w:r w:rsidR="002D4446" w:rsidRPr="009F6DE6">
        <w:rPr>
          <w:b w:val="0"/>
          <w:bCs w:val="0"/>
          <w:sz w:val="24"/>
          <w:szCs w:val="24"/>
        </w:rPr>
        <w:t xml:space="preserve"> </w:t>
      </w:r>
      <w:r w:rsidRPr="009F6DE6">
        <w:rPr>
          <w:b w:val="0"/>
          <w:bCs w:val="0"/>
          <w:sz w:val="24"/>
          <w:szCs w:val="24"/>
        </w:rPr>
        <w:t xml:space="preserve">Coleman wrote a letter on behalf of the NFPRHA to Senators </w:t>
      </w:r>
      <w:r w:rsidR="00687858">
        <w:rPr>
          <w:b w:val="0"/>
          <w:bCs w:val="0"/>
          <w:sz w:val="24"/>
          <w:szCs w:val="24"/>
        </w:rPr>
        <w:t xml:space="preserve">Daniel </w:t>
      </w:r>
      <w:r w:rsidRPr="009F6DE6">
        <w:rPr>
          <w:b w:val="0"/>
          <w:bCs w:val="0"/>
          <w:sz w:val="24"/>
          <w:szCs w:val="24"/>
        </w:rPr>
        <w:t>Inouye</w:t>
      </w:r>
      <w:r w:rsidR="00687858">
        <w:rPr>
          <w:b w:val="0"/>
          <w:bCs w:val="0"/>
          <w:sz w:val="24"/>
          <w:szCs w:val="24"/>
        </w:rPr>
        <w:t xml:space="preserve"> (D-HI)</w:t>
      </w:r>
      <w:r w:rsidRPr="009F6DE6">
        <w:rPr>
          <w:b w:val="0"/>
          <w:bCs w:val="0"/>
          <w:sz w:val="24"/>
          <w:szCs w:val="24"/>
        </w:rPr>
        <w:t xml:space="preserve"> and </w:t>
      </w:r>
      <w:r w:rsidR="00687858">
        <w:rPr>
          <w:b w:val="0"/>
          <w:bCs w:val="0"/>
          <w:sz w:val="24"/>
          <w:szCs w:val="24"/>
        </w:rPr>
        <w:t xml:space="preserve">Thad </w:t>
      </w:r>
      <w:r w:rsidRPr="009F6DE6">
        <w:rPr>
          <w:b w:val="0"/>
          <w:bCs w:val="0"/>
          <w:sz w:val="24"/>
          <w:szCs w:val="24"/>
        </w:rPr>
        <w:t>Cochran</w:t>
      </w:r>
      <w:r w:rsidR="00687858">
        <w:rPr>
          <w:b w:val="0"/>
          <w:bCs w:val="0"/>
          <w:sz w:val="24"/>
          <w:szCs w:val="24"/>
        </w:rPr>
        <w:t xml:space="preserve"> (R-MI)</w:t>
      </w:r>
      <w:r w:rsidRPr="009F6DE6">
        <w:rPr>
          <w:b w:val="0"/>
          <w:bCs w:val="0"/>
          <w:sz w:val="24"/>
          <w:szCs w:val="24"/>
        </w:rPr>
        <w:t xml:space="preserve"> of the Senate Appropriations Committee and Representatives </w:t>
      </w:r>
      <w:r w:rsidR="00E3096B">
        <w:rPr>
          <w:b w:val="0"/>
          <w:bCs w:val="0"/>
          <w:sz w:val="24"/>
          <w:szCs w:val="24"/>
        </w:rPr>
        <w:t>David O</w:t>
      </w:r>
      <w:r w:rsidRPr="009F6DE6">
        <w:rPr>
          <w:b w:val="0"/>
          <w:bCs w:val="0"/>
          <w:sz w:val="24"/>
          <w:szCs w:val="24"/>
        </w:rPr>
        <w:t>bey</w:t>
      </w:r>
      <w:r w:rsidR="00E3096B">
        <w:rPr>
          <w:b w:val="0"/>
          <w:bCs w:val="0"/>
          <w:sz w:val="24"/>
          <w:szCs w:val="24"/>
        </w:rPr>
        <w:t xml:space="preserve"> (D-WI)</w:t>
      </w:r>
      <w:r w:rsidRPr="009F6DE6">
        <w:rPr>
          <w:b w:val="0"/>
          <w:bCs w:val="0"/>
          <w:sz w:val="24"/>
          <w:szCs w:val="24"/>
        </w:rPr>
        <w:t xml:space="preserve"> and </w:t>
      </w:r>
      <w:r w:rsidR="00701204">
        <w:rPr>
          <w:b w:val="0"/>
          <w:bCs w:val="0"/>
          <w:sz w:val="24"/>
          <w:szCs w:val="24"/>
        </w:rPr>
        <w:t>Jerry</w:t>
      </w:r>
      <w:r w:rsidR="00E3096B">
        <w:rPr>
          <w:b w:val="0"/>
          <w:bCs w:val="0"/>
          <w:sz w:val="24"/>
          <w:szCs w:val="24"/>
        </w:rPr>
        <w:t xml:space="preserve"> </w:t>
      </w:r>
      <w:r w:rsidRPr="009F6DE6">
        <w:rPr>
          <w:b w:val="0"/>
          <w:bCs w:val="0"/>
          <w:sz w:val="24"/>
          <w:szCs w:val="24"/>
        </w:rPr>
        <w:t>Lewis</w:t>
      </w:r>
      <w:r w:rsidR="00701204">
        <w:rPr>
          <w:b w:val="0"/>
          <w:bCs w:val="0"/>
          <w:sz w:val="24"/>
          <w:szCs w:val="24"/>
        </w:rPr>
        <w:t xml:space="preserve"> (R-CA)</w:t>
      </w:r>
      <w:r w:rsidRPr="009F6DE6">
        <w:rPr>
          <w:b w:val="0"/>
          <w:bCs w:val="0"/>
          <w:sz w:val="24"/>
          <w:szCs w:val="24"/>
        </w:rPr>
        <w:t xml:space="preserve"> of the House Appropriations Committee </w:t>
      </w:r>
      <w:r w:rsidR="003B7C4B" w:rsidRPr="009F6DE6">
        <w:rPr>
          <w:b w:val="0"/>
          <w:bCs w:val="0"/>
          <w:sz w:val="24"/>
          <w:szCs w:val="24"/>
        </w:rPr>
        <w:t xml:space="preserve">to implore them to allocate funds from the ACA’s Prevention and Public Health Fund to fund Title </w:t>
      </w:r>
      <w:r w:rsidR="00AD5513" w:rsidRPr="009F6DE6">
        <w:rPr>
          <w:b w:val="0"/>
          <w:bCs w:val="0"/>
          <w:sz w:val="24"/>
          <w:szCs w:val="24"/>
        </w:rPr>
        <w:t>X</w:t>
      </w:r>
      <w:r w:rsidR="003B7C4B" w:rsidRPr="009F6DE6">
        <w:rPr>
          <w:b w:val="0"/>
          <w:bCs w:val="0"/>
          <w:sz w:val="24"/>
          <w:szCs w:val="24"/>
        </w:rPr>
        <w:t xml:space="preserve"> services.</w:t>
      </w:r>
      <w:r w:rsidR="00240C2E" w:rsidRPr="009F6DE6">
        <w:rPr>
          <w:rStyle w:val="FootnoteReference"/>
          <w:b w:val="0"/>
          <w:bCs w:val="0"/>
          <w:sz w:val="24"/>
          <w:szCs w:val="24"/>
        </w:rPr>
        <w:footnoteReference w:id="18"/>
      </w:r>
      <w:r w:rsidR="003B7C4B" w:rsidRPr="009F6DE6">
        <w:rPr>
          <w:b w:val="0"/>
          <w:bCs w:val="0"/>
          <w:sz w:val="24"/>
          <w:szCs w:val="24"/>
        </w:rPr>
        <w:t xml:space="preserve"> One of the NFPRHA pillar issues, Title </w:t>
      </w:r>
      <w:r w:rsidR="00AD5513" w:rsidRPr="009F6DE6">
        <w:rPr>
          <w:b w:val="0"/>
          <w:bCs w:val="0"/>
          <w:sz w:val="24"/>
          <w:szCs w:val="24"/>
        </w:rPr>
        <w:t>X</w:t>
      </w:r>
      <w:r w:rsidR="00800769">
        <w:rPr>
          <w:b w:val="0"/>
          <w:bCs w:val="0"/>
          <w:sz w:val="24"/>
          <w:szCs w:val="24"/>
        </w:rPr>
        <w:t xml:space="preserve"> is</w:t>
      </w:r>
      <w:r w:rsidR="003B7C4B" w:rsidRPr="009F6DE6">
        <w:rPr>
          <w:b w:val="0"/>
          <w:bCs w:val="0"/>
          <w:sz w:val="24"/>
          <w:szCs w:val="24"/>
        </w:rPr>
        <w:t xml:space="preserve"> </w:t>
      </w:r>
      <w:r w:rsidR="00AD5513" w:rsidRPr="009F6DE6">
        <w:rPr>
          <w:b w:val="0"/>
          <w:bCs w:val="0"/>
          <w:sz w:val="24"/>
          <w:szCs w:val="24"/>
        </w:rPr>
        <w:t>the United States federal</w:t>
      </w:r>
      <w:r w:rsidR="00062EB3" w:rsidRPr="009F6DE6">
        <w:rPr>
          <w:b w:val="0"/>
          <w:bCs w:val="0"/>
          <w:sz w:val="24"/>
          <w:szCs w:val="24"/>
        </w:rPr>
        <w:t>, publicly funded</w:t>
      </w:r>
      <w:r w:rsidR="00AD5513" w:rsidRPr="009F6DE6">
        <w:rPr>
          <w:b w:val="0"/>
          <w:bCs w:val="0"/>
          <w:sz w:val="24"/>
          <w:szCs w:val="24"/>
        </w:rPr>
        <w:t xml:space="preserve"> family planning fund.</w:t>
      </w:r>
      <w:r w:rsidR="00ED0A5C" w:rsidRPr="009F6DE6">
        <w:rPr>
          <w:rStyle w:val="FootnoteReference"/>
          <w:b w:val="0"/>
          <w:bCs w:val="0"/>
          <w:sz w:val="24"/>
          <w:szCs w:val="24"/>
        </w:rPr>
        <w:footnoteReference w:id="19"/>
      </w:r>
      <w:r w:rsidR="00AD5513" w:rsidRPr="009F6DE6">
        <w:rPr>
          <w:b w:val="0"/>
          <w:bCs w:val="0"/>
          <w:sz w:val="24"/>
          <w:szCs w:val="24"/>
        </w:rPr>
        <w:t xml:space="preserve"> </w:t>
      </w:r>
      <w:r w:rsidR="00D43BDD" w:rsidRPr="009F6DE6">
        <w:rPr>
          <w:b w:val="0"/>
          <w:bCs w:val="0"/>
          <w:sz w:val="24"/>
          <w:szCs w:val="24"/>
        </w:rPr>
        <w:t xml:space="preserve">Following the </w:t>
      </w:r>
      <w:r w:rsidR="00D43BDD" w:rsidRPr="00B301D7">
        <w:rPr>
          <w:b w:val="0"/>
          <w:bCs w:val="0"/>
          <w:color w:val="000000" w:themeColor="text1"/>
          <w:sz w:val="24"/>
          <w:szCs w:val="24"/>
        </w:rPr>
        <w:t xml:space="preserve">passage of the Affordable Care Act and in the lead up to the Fiscal Year 2011 Budget, the NFPRHA worked with Senator </w:t>
      </w:r>
      <w:r w:rsidR="00D930F2" w:rsidRPr="00B301D7">
        <w:rPr>
          <w:b w:val="0"/>
          <w:bCs w:val="0"/>
          <w:color w:val="000000" w:themeColor="text1"/>
          <w:sz w:val="24"/>
          <w:szCs w:val="24"/>
        </w:rPr>
        <w:t xml:space="preserve">Jeff </w:t>
      </w:r>
      <w:r w:rsidR="00D43BDD" w:rsidRPr="00B301D7">
        <w:rPr>
          <w:b w:val="0"/>
          <w:bCs w:val="0"/>
          <w:color w:val="000000" w:themeColor="text1"/>
          <w:sz w:val="24"/>
          <w:szCs w:val="24"/>
        </w:rPr>
        <w:t>Merkley</w:t>
      </w:r>
      <w:r w:rsidR="00D930F2" w:rsidRPr="00B301D7">
        <w:rPr>
          <w:b w:val="0"/>
          <w:bCs w:val="0"/>
          <w:color w:val="000000" w:themeColor="text1"/>
          <w:sz w:val="24"/>
          <w:szCs w:val="24"/>
        </w:rPr>
        <w:t xml:space="preserve"> (D-OR)</w:t>
      </w:r>
      <w:r w:rsidR="00D43BDD" w:rsidRPr="00B301D7">
        <w:rPr>
          <w:b w:val="0"/>
          <w:bCs w:val="0"/>
          <w:color w:val="000000" w:themeColor="text1"/>
          <w:sz w:val="24"/>
          <w:szCs w:val="24"/>
        </w:rPr>
        <w:t xml:space="preserve"> and Representative </w:t>
      </w:r>
      <w:r w:rsidR="00D930F2" w:rsidRPr="00B301D7">
        <w:rPr>
          <w:b w:val="0"/>
          <w:bCs w:val="0"/>
          <w:color w:val="000000" w:themeColor="text1"/>
          <w:sz w:val="24"/>
          <w:szCs w:val="24"/>
        </w:rPr>
        <w:t xml:space="preserve">Judy </w:t>
      </w:r>
      <w:r w:rsidR="00D43BDD" w:rsidRPr="00B301D7">
        <w:rPr>
          <w:b w:val="0"/>
          <w:bCs w:val="0"/>
          <w:color w:val="000000" w:themeColor="text1"/>
          <w:sz w:val="24"/>
          <w:szCs w:val="24"/>
        </w:rPr>
        <w:t>Chu</w:t>
      </w:r>
      <w:r w:rsidR="00D930F2" w:rsidRPr="00B301D7">
        <w:rPr>
          <w:b w:val="0"/>
          <w:bCs w:val="0"/>
          <w:color w:val="000000" w:themeColor="text1"/>
          <w:sz w:val="24"/>
          <w:szCs w:val="24"/>
        </w:rPr>
        <w:t xml:space="preserve"> (D-CA)</w:t>
      </w:r>
      <w:r w:rsidR="00D43BDD" w:rsidRPr="00B301D7">
        <w:rPr>
          <w:b w:val="0"/>
          <w:bCs w:val="0"/>
          <w:color w:val="000000" w:themeColor="text1"/>
          <w:sz w:val="24"/>
          <w:szCs w:val="24"/>
        </w:rPr>
        <w:t xml:space="preserve"> </w:t>
      </w:r>
      <w:r w:rsidR="00D930F2" w:rsidRPr="00B301D7">
        <w:rPr>
          <w:b w:val="0"/>
          <w:bCs w:val="0"/>
          <w:color w:val="000000" w:themeColor="text1"/>
          <w:sz w:val="24"/>
          <w:szCs w:val="24"/>
        </w:rPr>
        <w:t xml:space="preserve">to draft and introduce </w:t>
      </w:r>
      <w:r w:rsidR="00D930F2" w:rsidRPr="00B301D7">
        <w:rPr>
          <w:b w:val="0"/>
          <w:bCs w:val="0"/>
          <w:i/>
          <w:iCs/>
          <w:color w:val="000000" w:themeColor="text1"/>
          <w:sz w:val="24"/>
          <w:szCs w:val="24"/>
        </w:rPr>
        <w:t>S.Res.565</w:t>
      </w:r>
      <w:r w:rsidR="00D930F2" w:rsidRPr="00B301D7">
        <w:rPr>
          <w:b w:val="0"/>
          <w:bCs w:val="0"/>
          <w:color w:val="000000" w:themeColor="text1"/>
          <w:sz w:val="24"/>
          <w:szCs w:val="24"/>
        </w:rPr>
        <w:t xml:space="preserve"> and </w:t>
      </w:r>
      <w:r w:rsidR="00D930F2" w:rsidRPr="00B301D7">
        <w:rPr>
          <w:b w:val="0"/>
          <w:bCs w:val="0"/>
          <w:i/>
          <w:iCs/>
          <w:color w:val="000000" w:themeColor="text1"/>
          <w:sz w:val="24"/>
          <w:szCs w:val="24"/>
        </w:rPr>
        <w:t>H.Res.1476  - A resolution supporting and recognizing the achievements of the family planning services programs operating under title X of the Public Health Service Act,</w:t>
      </w:r>
      <w:r w:rsidR="00F65262" w:rsidRPr="00B301D7">
        <w:rPr>
          <w:rStyle w:val="FootnoteReference"/>
          <w:b w:val="0"/>
          <w:bCs w:val="0"/>
          <w:i/>
          <w:iCs/>
          <w:color w:val="000000" w:themeColor="text1"/>
          <w:sz w:val="24"/>
          <w:szCs w:val="24"/>
        </w:rPr>
        <w:footnoteReference w:id="20"/>
      </w:r>
      <w:r w:rsidR="00D930F2" w:rsidRPr="00B301D7">
        <w:rPr>
          <w:b w:val="0"/>
          <w:bCs w:val="0"/>
          <w:color w:val="000000" w:themeColor="text1"/>
          <w:sz w:val="24"/>
          <w:szCs w:val="24"/>
        </w:rPr>
        <w:t xml:space="preserve"> which </w:t>
      </w:r>
      <w:r w:rsidR="00915DB4" w:rsidRPr="00B301D7">
        <w:rPr>
          <w:b w:val="0"/>
          <w:bCs w:val="0"/>
          <w:color w:val="000000" w:themeColor="text1"/>
          <w:sz w:val="24"/>
          <w:szCs w:val="24"/>
        </w:rPr>
        <w:t xml:space="preserve">allowed 14 Senators </w:t>
      </w:r>
      <w:r w:rsidR="00915DB4" w:rsidRPr="00B301D7">
        <w:rPr>
          <w:b w:val="0"/>
          <w:bCs w:val="0"/>
          <w:color w:val="000000" w:themeColor="text1"/>
          <w:sz w:val="24"/>
          <w:szCs w:val="24"/>
        </w:rPr>
        <w:lastRenderedPageBreak/>
        <w:t xml:space="preserve">and 108 Representatives to publicly express their support for </w:t>
      </w:r>
      <w:r w:rsidR="00915DB4" w:rsidRPr="009F6DE6">
        <w:rPr>
          <w:b w:val="0"/>
          <w:bCs w:val="0"/>
          <w:color w:val="202A43"/>
          <w:sz w:val="24"/>
          <w:szCs w:val="24"/>
        </w:rPr>
        <w:t>the financial backing of Title X.</w:t>
      </w:r>
      <w:r w:rsidR="0030569E" w:rsidRPr="009F6DE6">
        <w:rPr>
          <w:rStyle w:val="FootnoteReference"/>
          <w:b w:val="0"/>
          <w:bCs w:val="0"/>
          <w:color w:val="202A43"/>
          <w:sz w:val="24"/>
          <w:szCs w:val="24"/>
        </w:rPr>
        <w:footnoteReference w:id="21"/>
      </w:r>
      <w:r w:rsidR="00915DB4" w:rsidRPr="009F6DE6">
        <w:rPr>
          <w:b w:val="0"/>
          <w:bCs w:val="0"/>
          <w:color w:val="202A43"/>
          <w:sz w:val="24"/>
          <w:szCs w:val="24"/>
        </w:rPr>
        <w:t xml:space="preserve"> </w:t>
      </w:r>
      <w:r w:rsidR="00F65262" w:rsidRPr="009F6DE6">
        <w:rPr>
          <w:b w:val="0"/>
          <w:bCs w:val="0"/>
          <w:color w:val="202A43"/>
          <w:sz w:val="24"/>
          <w:szCs w:val="24"/>
        </w:rPr>
        <w:t>While the resolutions ultimately did not pass</w:t>
      </w:r>
      <w:r w:rsidR="00AE186D" w:rsidRPr="009F6DE6">
        <w:rPr>
          <w:b w:val="0"/>
          <w:bCs w:val="0"/>
          <w:color w:val="202A43"/>
          <w:sz w:val="24"/>
          <w:szCs w:val="24"/>
        </w:rPr>
        <w:t xml:space="preserve"> and money allocated to Title X decreased by 18 million dollars in 2011,</w:t>
      </w:r>
      <w:r w:rsidR="0030569E" w:rsidRPr="009F6DE6">
        <w:rPr>
          <w:rStyle w:val="FootnoteReference"/>
          <w:b w:val="0"/>
          <w:bCs w:val="0"/>
          <w:color w:val="202A43"/>
          <w:sz w:val="24"/>
          <w:szCs w:val="24"/>
        </w:rPr>
        <w:footnoteReference w:id="22"/>
      </w:r>
      <w:r w:rsidR="00AE186D" w:rsidRPr="009F6DE6">
        <w:rPr>
          <w:b w:val="0"/>
          <w:bCs w:val="0"/>
          <w:color w:val="202A43"/>
          <w:sz w:val="24"/>
          <w:szCs w:val="24"/>
        </w:rPr>
        <w:t xml:space="preserve"> the bill still expressed support for funding from ACA</w:t>
      </w:r>
      <w:r w:rsidR="008027DD">
        <w:rPr>
          <w:b w:val="0"/>
          <w:bCs w:val="0"/>
          <w:color w:val="202A43"/>
          <w:sz w:val="24"/>
          <w:szCs w:val="24"/>
        </w:rPr>
        <w:t xml:space="preserve"> </w:t>
      </w:r>
      <w:r w:rsidR="00AE186D" w:rsidRPr="009F6DE6">
        <w:rPr>
          <w:b w:val="0"/>
          <w:bCs w:val="0"/>
          <w:color w:val="202A43"/>
          <w:sz w:val="24"/>
          <w:szCs w:val="24"/>
        </w:rPr>
        <w:t>established funds to be allocated towards Title X funding</w:t>
      </w:r>
      <w:r w:rsidR="00A1127A" w:rsidRPr="009F6DE6">
        <w:rPr>
          <w:b w:val="0"/>
          <w:bCs w:val="0"/>
          <w:color w:val="202A43"/>
          <w:sz w:val="24"/>
          <w:szCs w:val="24"/>
        </w:rPr>
        <w:t xml:space="preserve"> in future budgets</w:t>
      </w:r>
      <w:r w:rsidR="00AE186D" w:rsidRPr="009F6DE6">
        <w:rPr>
          <w:b w:val="0"/>
          <w:bCs w:val="0"/>
          <w:color w:val="202A43"/>
          <w:sz w:val="24"/>
          <w:szCs w:val="24"/>
        </w:rPr>
        <w:t>.</w:t>
      </w:r>
      <w:r w:rsidR="0030569E" w:rsidRPr="009F6DE6">
        <w:rPr>
          <w:rStyle w:val="FootnoteReference"/>
          <w:b w:val="0"/>
          <w:bCs w:val="0"/>
          <w:color w:val="202A43"/>
          <w:sz w:val="24"/>
          <w:szCs w:val="24"/>
        </w:rPr>
        <w:footnoteReference w:id="23"/>
      </w:r>
    </w:p>
    <w:p w14:paraId="10933A80" w14:textId="7E784E01" w:rsidR="009F6DE6" w:rsidRPr="009F6DE6" w:rsidRDefault="00715950" w:rsidP="009F6DE6">
      <w:pPr>
        <w:spacing w:line="480" w:lineRule="auto"/>
        <w:ind w:firstLine="720"/>
        <w:rPr>
          <w:rFonts w:ascii="Times New Roman" w:eastAsia="Times New Roman" w:hAnsi="Times New Roman" w:cs="Times New Roman"/>
        </w:rPr>
      </w:pPr>
      <w:r w:rsidRPr="009F6DE6">
        <w:rPr>
          <w:rFonts w:ascii="Times New Roman" w:hAnsi="Times New Roman" w:cs="Times New Roman"/>
          <w:color w:val="202A43"/>
        </w:rPr>
        <w:t xml:space="preserve">Years following the passage of the Affordable Care Act, the National Family Planning and Reproductive Health Association </w:t>
      </w:r>
      <w:r w:rsidR="00162190" w:rsidRPr="009F6DE6">
        <w:rPr>
          <w:rFonts w:ascii="Times New Roman" w:hAnsi="Times New Roman" w:cs="Times New Roman"/>
          <w:color w:val="202A43"/>
        </w:rPr>
        <w:t>remains an outspoken defendant of family planning and sexual health services as the ACA faces legal challenges. In its defense of contraception coverage and preventive services, the NFPRHA attempts to elevate the voices of “safety-net providers and their patients” in Supreme Court challenges.</w:t>
      </w:r>
      <w:r w:rsidR="00162190" w:rsidRPr="009F6DE6">
        <w:rPr>
          <w:rStyle w:val="FootnoteReference"/>
          <w:rFonts w:ascii="Times New Roman" w:hAnsi="Times New Roman" w:cs="Times New Roman"/>
          <w:color w:val="202A43"/>
        </w:rPr>
        <w:footnoteReference w:id="24"/>
      </w:r>
      <w:r w:rsidR="00162190" w:rsidRPr="009F6DE6">
        <w:rPr>
          <w:rFonts w:ascii="Times New Roman" w:hAnsi="Times New Roman" w:cs="Times New Roman"/>
          <w:color w:val="202A43"/>
        </w:rPr>
        <w:t xml:space="preserve"> The NFPRHA has filed amicus briefs in </w:t>
      </w:r>
      <w:r w:rsidR="00162190" w:rsidRPr="009F6DE6">
        <w:rPr>
          <w:rFonts w:ascii="Times New Roman" w:hAnsi="Times New Roman" w:cs="Times New Roman"/>
          <w:i/>
          <w:iCs/>
          <w:color w:val="202A43"/>
        </w:rPr>
        <w:t>Burwell v. Hobby Lobby</w:t>
      </w:r>
      <w:r w:rsidR="00162190" w:rsidRPr="009F6DE6">
        <w:rPr>
          <w:rFonts w:ascii="Times New Roman" w:hAnsi="Times New Roman" w:cs="Times New Roman"/>
          <w:color w:val="202A43"/>
        </w:rPr>
        <w:t xml:space="preserve"> (2014), </w:t>
      </w:r>
      <w:r w:rsidR="00162190" w:rsidRPr="009F6DE6">
        <w:rPr>
          <w:rFonts w:ascii="Times New Roman" w:hAnsi="Times New Roman" w:cs="Times New Roman"/>
          <w:i/>
          <w:iCs/>
          <w:color w:val="202A43"/>
        </w:rPr>
        <w:t>Conestoga Wood Specialties Corp. v. Burwell</w:t>
      </w:r>
      <w:r w:rsidR="00162190" w:rsidRPr="009F6DE6">
        <w:rPr>
          <w:rFonts w:ascii="Times New Roman" w:hAnsi="Times New Roman" w:cs="Times New Roman"/>
          <w:color w:val="202A43"/>
        </w:rPr>
        <w:t xml:space="preserve"> (2014)</w:t>
      </w:r>
      <w:r w:rsidR="00E47FB3" w:rsidRPr="009F6DE6">
        <w:rPr>
          <w:rFonts w:ascii="Times New Roman" w:hAnsi="Times New Roman" w:cs="Times New Roman"/>
          <w:color w:val="202A43"/>
        </w:rPr>
        <w:t>,</w:t>
      </w:r>
      <w:r w:rsidR="00E22EC9" w:rsidRPr="009F6DE6">
        <w:rPr>
          <w:rStyle w:val="FootnoteReference"/>
          <w:rFonts w:ascii="Times New Roman" w:hAnsi="Times New Roman" w:cs="Times New Roman"/>
          <w:color w:val="202A43"/>
        </w:rPr>
        <w:footnoteReference w:id="25"/>
      </w:r>
      <w:r w:rsidR="00C43E13" w:rsidRPr="009F6DE6">
        <w:rPr>
          <w:rStyle w:val="FootnoteReference"/>
          <w:rFonts w:ascii="Times New Roman" w:hAnsi="Times New Roman" w:cs="Times New Roman"/>
          <w:color w:val="202A43"/>
        </w:rPr>
        <w:footnoteReference w:id="26"/>
      </w:r>
      <w:r w:rsidR="00E47FB3" w:rsidRPr="009F6DE6">
        <w:rPr>
          <w:rFonts w:ascii="Times New Roman" w:hAnsi="Times New Roman" w:cs="Times New Roman"/>
          <w:color w:val="202A43"/>
        </w:rPr>
        <w:t xml:space="preserve"> and </w:t>
      </w:r>
      <w:r w:rsidR="00E47FB3" w:rsidRPr="009F6DE6">
        <w:rPr>
          <w:rFonts w:ascii="Times New Roman" w:hAnsi="Times New Roman" w:cs="Times New Roman"/>
          <w:i/>
          <w:iCs/>
          <w:color w:val="202A43"/>
        </w:rPr>
        <w:t>Zubik v. Burwell</w:t>
      </w:r>
      <w:r w:rsidR="00E47FB3" w:rsidRPr="009F6DE6">
        <w:rPr>
          <w:rFonts w:ascii="Times New Roman" w:hAnsi="Times New Roman" w:cs="Times New Roman"/>
          <w:color w:val="202A43"/>
        </w:rPr>
        <w:t xml:space="preserve"> (2016)</w:t>
      </w:r>
      <w:r w:rsidR="00454841" w:rsidRPr="009F6DE6">
        <w:rPr>
          <w:rStyle w:val="FootnoteReference"/>
          <w:rFonts w:ascii="Times New Roman" w:hAnsi="Times New Roman" w:cs="Times New Roman"/>
          <w:color w:val="202A43"/>
        </w:rPr>
        <w:footnoteReference w:id="27"/>
      </w:r>
      <w:r w:rsidR="00FB067E" w:rsidRPr="009F6DE6">
        <w:rPr>
          <w:rFonts w:ascii="Times New Roman" w:hAnsi="Times New Roman" w:cs="Times New Roman"/>
          <w:color w:val="202A43"/>
        </w:rPr>
        <w:t xml:space="preserve"> to defend contraceptive and family planning services access against religious </w:t>
      </w:r>
      <w:r w:rsidR="00A833F7">
        <w:rPr>
          <w:rFonts w:ascii="Times New Roman" w:hAnsi="Times New Roman" w:cs="Times New Roman"/>
          <w:color w:val="202A43"/>
        </w:rPr>
        <w:t xml:space="preserve">and moral </w:t>
      </w:r>
      <w:r w:rsidR="00DD2837" w:rsidRPr="009F6DE6">
        <w:rPr>
          <w:rFonts w:ascii="Times New Roman" w:hAnsi="Times New Roman" w:cs="Times New Roman"/>
          <w:color w:val="202A43"/>
        </w:rPr>
        <w:t>challenges</w:t>
      </w:r>
      <w:r w:rsidR="005B0B44" w:rsidRPr="009F6DE6">
        <w:rPr>
          <w:rFonts w:ascii="Times New Roman" w:hAnsi="Times New Roman" w:cs="Times New Roman"/>
          <w:color w:val="202A43"/>
        </w:rPr>
        <w:t xml:space="preserve">. </w:t>
      </w:r>
      <w:r w:rsidR="00E61C52" w:rsidRPr="009F6DE6">
        <w:rPr>
          <w:rFonts w:ascii="Times New Roman" w:hAnsi="Times New Roman" w:cs="Times New Roman"/>
          <w:color w:val="202A43"/>
        </w:rPr>
        <w:t xml:space="preserve">Despite the NFPRHA’s amicus briefs, </w:t>
      </w:r>
      <w:r w:rsidR="00454841" w:rsidRPr="009F6DE6">
        <w:rPr>
          <w:rFonts w:ascii="Times New Roman" w:hAnsi="Times New Roman" w:cs="Times New Roman"/>
          <w:i/>
          <w:iCs/>
          <w:color w:val="202A43"/>
        </w:rPr>
        <w:t>Burwell v. Hobby Lobby</w:t>
      </w:r>
      <w:r w:rsidR="00454841" w:rsidRPr="009F6DE6">
        <w:rPr>
          <w:rFonts w:ascii="Times New Roman" w:hAnsi="Times New Roman" w:cs="Times New Roman"/>
          <w:color w:val="202A43"/>
        </w:rPr>
        <w:t xml:space="preserve"> and </w:t>
      </w:r>
      <w:r w:rsidR="00454841" w:rsidRPr="009F6DE6">
        <w:rPr>
          <w:rFonts w:ascii="Times New Roman" w:hAnsi="Times New Roman" w:cs="Times New Roman"/>
          <w:i/>
          <w:iCs/>
          <w:color w:val="202A43"/>
        </w:rPr>
        <w:t xml:space="preserve">Conestoga Wood Specialties Corp. v. Burwell </w:t>
      </w:r>
      <w:r w:rsidR="00454841" w:rsidRPr="009F6DE6">
        <w:rPr>
          <w:rFonts w:ascii="Times New Roman" w:hAnsi="Times New Roman" w:cs="Times New Roman"/>
          <w:color w:val="202A43"/>
        </w:rPr>
        <w:t xml:space="preserve">both ruled in favor of exempting religious, for-profit organizations from the ACA provision requiring employers to </w:t>
      </w:r>
      <w:r w:rsidR="0080619A">
        <w:rPr>
          <w:rFonts w:ascii="Times New Roman" w:hAnsi="Times New Roman" w:cs="Times New Roman"/>
          <w:color w:val="202A43"/>
        </w:rPr>
        <w:t>i</w:t>
      </w:r>
      <w:r w:rsidR="00454841" w:rsidRPr="009F6DE6">
        <w:rPr>
          <w:rFonts w:ascii="Times New Roman" w:hAnsi="Times New Roman" w:cs="Times New Roman"/>
          <w:color w:val="202A43"/>
        </w:rPr>
        <w:t xml:space="preserve">nsure </w:t>
      </w:r>
      <w:r w:rsidR="00454841" w:rsidRPr="009F6DE6">
        <w:rPr>
          <w:rFonts w:ascii="Times New Roman" w:hAnsi="Times New Roman" w:cs="Times New Roman"/>
          <w:color w:val="202A43"/>
        </w:rPr>
        <w:lastRenderedPageBreak/>
        <w:t>contraception and family planning services that contradicted their religious beliefs.</w:t>
      </w:r>
      <w:r w:rsidR="00454841" w:rsidRPr="009F6DE6">
        <w:rPr>
          <w:rStyle w:val="FootnoteReference"/>
          <w:rFonts w:ascii="Times New Roman" w:hAnsi="Times New Roman" w:cs="Times New Roman"/>
          <w:color w:val="202A43"/>
        </w:rPr>
        <w:footnoteReference w:id="28"/>
      </w:r>
      <w:r w:rsidR="00454841" w:rsidRPr="009F6DE6">
        <w:rPr>
          <w:rFonts w:ascii="Times New Roman" w:hAnsi="Times New Roman" w:cs="Times New Roman"/>
          <w:color w:val="202A43"/>
        </w:rPr>
        <w:t xml:space="preserve"> </w:t>
      </w:r>
      <w:r w:rsidR="00454841" w:rsidRPr="009F6DE6">
        <w:rPr>
          <w:rStyle w:val="FootnoteReference"/>
          <w:rFonts w:ascii="Times New Roman" w:hAnsi="Times New Roman" w:cs="Times New Roman"/>
          <w:color w:val="202A43"/>
        </w:rPr>
        <w:footnoteReference w:id="29"/>
      </w:r>
      <w:r w:rsidR="00454841" w:rsidRPr="009F6DE6">
        <w:rPr>
          <w:rFonts w:ascii="Times New Roman" w:hAnsi="Times New Roman" w:cs="Times New Roman"/>
          <w:color w:val="202A43"/>
        </w:rPr>
        <w:t xml:space="preserve"> In </w:t>
      </w:r>
      <w:r w:rsidR="00454841" w:rsidRPr="009F6DE6">
        <w:rPr>
          <w:rFonts w:ascii="Times New Roman" w:hAnsi="Times New Roman" w:cs="Times New Roman"/>
          <w:i/>
          <w:iCs/>
          <w:color w:val="202A43"/>
        </w:rPr>
        <w:t>Z</w:t>
      </w:r>
      <w:r w:rsidR="009C42FA">
        <w:rPr>
          <w:rFonts w:ascii="Times New Roman" w:hAnsi="Times New Roman" w:cs="Times New Roman"/>
          <w:i/>
          <w:iCs/>
          <w:color w:val="202A43"/>
        </w:rPr>
        <w:t>ub</w:t>
      </w:r>
      <w:r w:rsidR="00454841" w:rsidRPr="009F6DE6">
        <w:rPr>
          <w:rFonts w:ascii="Times New Roman" w:hAnsi="Times New Roman" w:cs="Times New Roman"/>
          <w:i/>
          <w:iCs/>
          <w:color w:val="202A43"/>
        </w:rPr>
        <w:t>ik v. Burwell</w:t>
      </w:r>
      <w:r w:rsidR="00454841" w:rsidRPr="009F6DE6">
        <w:rPr>
          <w:rFonts w:ascii="Times New Roman" w:hAnsi="Times New Roman" w:cs="Times New Roman"/>
          <w:color w:val="202A43"/>
        </w:rPr>
        <w:t>, the Court</w:t>
      </w:r>
      <w:r w:rsidR="008D0BEE">
        <w:rPr>
          <w:rFonts w:ascii="Times New Roman" w:hAnsi="Times New Roman" w:cs="Times New Roman"/>
          <w:color w:val="202A43"/>
        </w:rPr>
        <w:t xml:space="preserve">’s ruling </w:t>
      </w:r>
      <w:r w:rsidR="00BF2AA9" w:rsidRPr="009F6DE6">
        <w:rPr>
          <w:rFonts w:ascii="Times New Roman" w:hAnsi="Times New Roman" w:cs="Times New Roman"/>
          <w:color w:val="202A43"/>
        </w:rPr>
        <w:t>delegated decisions regarding religious employers and employee contraceptive coverage to lower courts.</w:t>
      </w:r>
      <w:r w:rsidR="00BF2AA9" w:rsidRPr="009F6DE6">
        <w:rPr>
          <w:rStyle w:val="FootnoteReference"/>
          <w:rFonts w:ascii="Times New Roman" w:hAnsi="Times New Roman" w:cs="Times New Roman"/>
          <w:color w:val="202A43"/>
        </w:rPr>
        <w:footnoteReference w:id="30"/>
      </w:r>
      <w:r w:rsidR="00BF2AA9" w:rsidRPr="009F6DE6">
        <w:rPr>
          <w:rFonts w:ascii="Times New Roman" w:hAnsi="Times New Roman" w:cs="Times New Roman"/>
          <w:color w:val="202A43"/>
        </w:rPr>
        <w:t xml:space="preserve"> In 2017, </w:t>
      </w:r>
      <w:r w:rsidR="00BF7DA8" w:rsidRPr="009F6DE6">
        <w:rPr>
          <w:rFonts w:ascii="Times New Roman" w:hAnsi="Times New Roman" w:cs="Times New Roman"/>
          <w:color w:val="202A43"/>
        </w:rPr>
        <w:t>Col</w:t>
      </w:r>
      <w:r w:rsidR="000C7D9D">
        <w:rPr>
          <w:rFonts w:ascii="Times New Roman" w:hAnsi="Times New Roman" w:cs="Times New Roman"/>
          <w:color w:val="202A43"/>
        </w:rPr>
        <w:t>e</w:t>
      </w:r>
      <w:r w:rsidR="00BF7DA8" w:rsidRPr="009F6DE6">
        <w:rPr>
          <w:rFonts w:ascii="Times New Roman" w:hAnsi="Times New Roman" w:cs="Times New Roman"/>
          <w:color w:val="202A43"/>
        </w:rPr>
        <w:t xml:space="preserve">man, on behalf of NFPRHA, issued two official statements </w:t>
      </w:r>
      <w:r w:rsidR="00DE36CC" w:rsidRPr="009F6DE6">
        <w:rPr>
          <w:rFonts w:ascii="Times New Roman" w:hAnsi="Times New Roman" w:cs="Times New Roman"/>
          <w:color w:val="202A43"/>
        </w:rPr>
        <w:t xml:space="preserve">to Acting Secretary of Health and Human Services Eric Hargan and Centers for Medicare and Medicaid Services Seema Verma </w:t>
      </w:r>
      <w:r w:rsidR="00BF7DA8" w:rsidRPr="009F6DE6">
        <w:rPr>
          <w:rFonts w:ascii="Times New Roman" w:hAnsi="Times New Roman" w:cs="Times New Roman"/>
          <w:color w:val="202A43"/>
        </w:rPr>
        <w:t>explicitly condemning and expressing concern regarding religious</w:t>
      </w:r>
      <w:r w:rsidR="00BF7DA8" w:rsidRPr="009F6DE6">
        <w:rPr>
          <w:rStyle w:val="FootnoteReference"/>
          <w:rFonts w:ascii="Times New Roman" w:hAnsi="Times New Roman" w:cs="Times New Roman"/>
          <w:color w:val="202A43"/>
        </w:rPr>
        <w:footnoteReference w:id="31"/>
      </w:r>
      <w:r w:rsidR="00BF7DA8" w:rsidRPr="009F6DE6">
        <w:rPr>
          <w:rFonts w:ascii="Times New Roman" w:hAnsi="Times New Roman" w:cs="Times New Roman"/>
          <w:color w:val="202A43"/>
        </w:rPr>
        <w:t xml:space="preserve"> and moral exemptions from coverage </w:t>
      </w:r>
      <w:r w:rsidR="003D640B">
        <w:rPr>
          <w:rFonts w:ascii="Times New Roman" w:hAnsi="Times New Roman" w:cs="Times New Roman"/>
          <w:color w:val="202A43"/>
        </w:rPr>
        <w:t>of</w:t>
      </w:r>
      <w:r w:rsidR="00BF7DA8" w:rsidRPr="009F6DE6">
        <w:rPr>
          <w:rFonts w:ascii="Times New Roman" w:hAnsi="Times New Roman" w:cs="Times New Roman"/>
          <w:color w:val="202A43"/>
        </w:rPr>
        <w:t xml:space="preserve"> “certain preventive services under the Affordable Care Act.”</w:t>
      </w:r>
      <w:r w:rsidR="00BF7DA8" w:rsidRPr="009F6DE6">
        <w:rPr>
          <w:rStyle w:val="FootnoteReference"/>
          <w:rFonts w:ascii="Times New Roman" w:hAnsi="Times New Roman" w:cs="Times New Roman"/>
          <w:color w:val="202A43"/>
        </w:rPr>
        <w:footnoteReference w:id="32"/>
      </w:r>
      <w:r w:rsidR="009F6DE6" w:rsidRPr="009F6DE6">
        <w:rPr>
          <w:rFonts w:ascii="Times New Roman" w:hAnsi="Times New Roman" w:cs="Times New Roman"/>
          <w:color w:val="202A43"/>
        </w:rPr>
        <w:t xml:space="preserve"> These restrictions, Coleman argue</w:t>
      </w:r>
      <w:r w:rsidR="009E42D4">
        <w:rPr>
          <w:rFonts w:ascii="Times New Roman" w:hAnsi="Times New Roman" w:cs="Times New Roman"/>
          <w:color w:val="202A43"/>
        </w:rPr>
        <w:t>d</w:t>
      </w:r>
      <w:r w:rsidR="009F6DE6" w:rsidRPr="009F6DE6">
        <w:rPr>
          <w:rFonts w:ascii="Times New Roman" w:hAnsi="Times New Roman" w:cs="Times New Roman"/>
          <w:color w:val="202A43"/>
        </w:rPr>
        <w:t>, infringe on the goals of preventive healthcare which are to</w:t>
      </w:r>
      <w:r w:rsidR="00EF1164">
        <w:rPr>
          <w:rFonts w:ascii="Times New Roman" w:hAnsi="Times New Roman" w:cs="Times New Roman"/>
          <w:color w:val="202A43"/>
        </w:rPr>
        <w:t xml:space="preserve"> help</w:t>
      </w:r>
      <w:r w:rsidR="009F6DE6" w:rsidRPr="009F6DE6">
        <w:rPr>
          <w:rFonts w:ascii="Times New Roman" w:hAnsi="Times New Roman" w:cs="Times New Roman"/>
          <w:color w:val="202A43"/>
        </w:rPr>
        <w:t xml:space="preserve"> “</w:t>
      </w:r>
      <w:r w:rsidR="009F6DE6" w:rsidRPr="009F6DE6">
        <w:rPr>
          <w:rFonts w:ascii="Times New Roman" w:eastAsia="Times New Roman" w:hAnsi="Times New Roman" w:cs="Times New Roman"/>
        </w:rPr>
        <w:t>people control, track, and better manage their lifelong health, and the health of their families</w:t>
      </w:r>
      <w:r w:rsidR="00E47CEC">
        <w:rPr>
          <w:rFonts w:ascii="Times New Roman" w:eastAsia="Times New Roman" w:hAnsi="Times New Roman" w:cs="Times New Roman"/>
        </w:rPr>
        <w:t>.”</w:t>
      </w:r>
      <w:r w:rsidR="00E47CEC">
        <w:rPr>
          <w:rStyle w:val="FootnoteReference"/>
          <w:rFonts w:ascii="Times New Roman" w:eastAsia="Times New Roman" w:hAnsi="Times New Roman" w:cs="Times New Roman"/>
        </w:rPr>
        <w:footnoteReference w:id="33"/>
      </w:r>
      <w:r w:rsidR="00E47CEC">
        <w:rPr>
          <w:rFonts w:ascii="Times New Roman" w:eastAsia="Times New Roman" w:hAnsi="Times New Roman" w:cs="Times New Roman"/>
        </w:rPr>
        <w:t xml:space="preserve"> Four years later, the National Family Planning and Reproductive Health Association remains true to its mission of making family planning and sexual health services accessible to as many Americans as possible under the Affordable Care Act. </w:t>
      </w:r>
    </w:p>
    <w:p w14:paraId="6B402DF9" w14:textId="09EFBE4B" w:rsidR="00D053B6" w:rsidRDefault="00D053B6">
      <w:pPr>
        <w:rPr>
          <w:rFonts w:ascii="Times New Roman" w:eastAsia="Times New Roman" w:hAnsi="Times New Roman" w:cs="Times New Roman"/>
          <w:color w:val="202A43"/>
          <w:kern w:val="36"/>
        </w:rPr>
      </w:pPr>
      <w:r>
        <w:rPr>
          <w:b/>
          <w:bCs/>
          <w:color w:val="202A43"/>
        </w:rPr>
        <w:br w:type="page"/>
      </w:r>
    </w:p>
    <w:p w14:paraId="4D63E869" w14:textId="2B32F6A7" w:rsidR="00D755C1" w:rsidRDefault="00D053B6" w:rsidP="00D053B6">
      <w:pPr>
        <w:pStyle w:val="Heading1"/>
        <w:spacing w:line="480" w:lineRule="auto"/>
        <w:ind w:firstLine="720"/>
        <w:jc w:val="center"/>
        <w:rPr>
          <w:b w:val="0"/>
          <w:bCs w:val="0"/>
          <w:color w:val="202A43"/>
          <w:sz w:val="24"/>
          <w:szCs w:val="24"/>
        </w:rPr>
      </w:pPr>
      <w:r>
        <w:rPr>
          <w:b w:val="0"/>
          <w:bCs w:val="0"/>
          <w:color w:val="202A43"/>
          <w:sz w:val="24"/>
          <w:szCs w:val="24"/>
        </w:rPr>
        <w:lastRenderedPageBreak/>
        <w:t>Bibliography</w:t>
      </w:r>
    </w:p>
    <w:p w14:paraId="2827D697" w14:textId="511EE7DE" w:rsidR="00996A74" w:rsidRDefault="00996A74" w:rsidP="00996A74">
      <w:pPr>
        <w:pStyle w:val="Heading1"/>
        <w:spacing w:line="480" w:lineRule="auto"/>
        <w:ind w:left="720" w:hanging="720"/>
        <w:rPr>
          <w:b w:val="0"/>
          <w:bCs w:val="0"/>
          <w:color w:val="202A43"/>
          <w:sz w:val="24"/>
          <w:szCs w:val="24"/>
        </w:rPr>
      </w:pPr>
      <w:r w:rsidRPr="00D85723">
        <w:rPr>
          <w:b w:val="0"/>
          <w:bCs w:val="0"/>
          <w:color w:val="202A43"/>
          <w:sz w:val="24"/>
          <w:szCs w:val="24"/>
        </w:rPr>
        <w:t>“About: Meet NFPRHA’s Members</w:t>
      </w:r>
      <w:r>
        <w:rPr>
          <w:b w:val="0"/>
          <w:bCs w:val="0"/>
          <w:color w:val="202A43"/>
          <w:sz w:val="24"/>
          <w:szCs w:val="24"/>
        </w:rPr>
        <w:t>.</w:t>
      </w:r>
      <w:r w:rsidRPr="00D85723">
        <w:rPr>
          <w:b w:val="0"/>
          <w:bCs w:val="0"/>
          <w:color w:val="202A43"/>
          <w:sz w:val="24"/>
          <w:szCs w:val="24"/>
        </w:rPr>
        <w:t>” National Family Planning</w:t>
      </w:r>
      <w:r>
        <w:rPr>
          <w:b w:val="0"/>
          <w:bCs w:val="0"/>
          <w:color w:val="202A43"/>
          <w:sz w:val="24"/>
          <w:szCs w:val="24"/>
        </w:rPr>
        <w:t>.</w:t>
      </w:r>
      <w:r w:rsidRPr="00D85723">
        <w:rPr>
          <w:b w:val="0"/>
          <w:bCs w:val="0"/>
          <w:color w:val="202A43"/>
          <w:sz w:val="24"/>
          <w:szCs w:val="24"/>
        </w:rPr>
        <w:t xml:space="preserve"> National Family Planning &amp; Reproductive Health Association</w:t>
      </w:r>
      <w:r>
        <w:rPr>
          <w:b w:val="0"/>
          <w:bCs w:val="0"/>
          <w:color w:val="202A43"/>
          <w:sz w:val="24"/>
          <w:szCs w:val="24"/>
        </w:rPr>
        <w:t>, a</w:t>
      </w:r>
      <w:r w:rsidRPr="00D85723">
        <w:rPr>
          <w:b w:val="0"/>
          <w:bCs w:val="0"/>
          <w:color w:val="202A43"/>
          <w:sz w:val="24"/>
          <w:szCs w:val="24"/>
        </w:rPr>
        <w:t>ccessed 10 April 2021</w:t>
      </w:r>
      <w:r>
        <w:rPr>
          <w:b w:val="0"/>
          <w:bCs w:val="0"/>
          <w:color w:val="202A43"/>
          <w:sz w:val="24"/>
          <w:szCs w:val="24"/>
        </w:rPr>
        <w:t>.</w:t>
      </w:r>
      <w:r w:rsidRPr="00D85723">
        <w:rPr>
          <w:b w:val="0"/>
          <w:bCs w:val="0"/>
          <w:color w:val="202A43"/>
          <w:sz w:val="24"/>
          <w:szCs w:val="24"/>
        </w:rPr>
        <w:t xml:space="preserve"> https://www.nationalfamilyplanning.org/page.aspx?pid=434.</w:t>
      </w:r>
    </w:p>
    <w:p w14:paraId="277B9F4D" w14:textId="18E1C3F9" w:rsidR="004B6855" w:rsidRPr="00D85723" w:rsidRDefault="004B6855" w:rsidP="00790DFB">
      <w:pPr>
        <w:pStyle w:val="Heading1"/>
        <w:spacing w:line="480" w:lineRule="auto"/>
        <w:ind w:left="720" w:hanging="720"/>
        <w:rPr>
          <w:b w:val="0"/>
          <w:bCs w:val="0"/>
          <w:color w:val="202A43"/>
          <w:sz w:val="24"/>
          <w:szCs w:val="24"/>
        </w:rPr>
      </w:pPr>
      <w:r w:rsidRPr="00956620">
        <w:rPr>
          <w:b w:val="0"/>
          <w:bCs w:val="0"/>
          <w:color w:val="202A43"/>
          <w:sz w:val="24"/>
          <w:szCs w:val="24"/>
        </w:rPr>
        <w:t>“About: Mission Statement</w:t>
      </w:r>
      <w:r>
        <w:rPr>
          <w:b w:val="0"/>
          <w:bCs w:val="0"/>
          <w:color w:val="202A43"/>
          <w:sz w:val="24"/>
          <w:szCs w:val="24"/>
        </w:rPr>
        <w:t>,</w:t>
      </w:r>
      <w:r w:rsidRPr="00956620">
        <w:rPr>
          <w:b w:val="0"/>
          <w:bCs w:val="0"/>
          <w:color w:val="202A43"/>
          <w:sz w:val="24"/>
          <w:szCs w:val="24"/>
        </w:rPr>
        <w:t>” National Family Planning</w:t>
      </w:r>
      <w:r>
        <w:rPr>
          <w:b w:val="0"/>
          <w:bCs w:val="0"/>
          <w:color w:val="202A43"/>
          <w:sz w:val="24"/>
          <w:szCs w:val="24"/>
        </w:rPr>
        <w:t>.</w:t>
      </w:r>
      <w:r w:rsidRPr="00956620">
        <w:rPr>
          <w:b w:val="0"/>
          <w:bCs w:val="0"/>
          <w:color w:val="202A43"/>
          <w:sz w:val="24"/>
          <w:szCs w:val="24"/>
        </w:rPr>
        <w:t xml:space="preserve"> National Family Planning &amp; Reproductive Health Association</w:t>
      </w:r>
      <w:r>
        <w:rPr>
          <w:b w:val="0"/>
          <w:bCs w:val="0"/>
          <w:color w:val="202A43"/>
          <w:sz w:val="24"/>
          <w:szCs w:val="24"/>
        </w:rPr>
        <w:t>.</w:t>
      </w:r>
      <w:r w:rsidRPr="00956620">
        <w:rPr>
          <w:b w:val="0"/>
          <w:bCs w:val="0"/>
          <w:color w:val="202A43"/>
          <w:sz w:val="24"/>
          <w:szCs w:val="24"/>
        </w:rPr>
        <w:t xml:space="preserve"> </w:t>
      </w:r>
      <w:r>
        <w:rPr>
          <w:b w:val="0"/>
          <w:bCs w:val="0"/>
          <w:color w:val="202A43"/>
          <w:sz w:val="24"/>
          <w:szCs w:val="24"/>
        </w:rPr>
        <w:t>A</w:t>
      </w:r>
      <w:r w:rsidRPr="00956620">
        <w:rPr>
          <w:b w:val="0"/>
          <w:bCs w:val="0"/>
          <w:color w:val="202A43"/>
          <w:sz w:val="24"/>
          <w:szCs w:val="24"/>
        </w:rPr>
        <w:t>ccessed 10 April 2021</w:t>
      </w:r>
      <w:r>
        <w:rPr>
          <w:b w:val="0"/>
          <w:bCs w:val="0"/>
          <w:color w:val="202A43"/>
          <w:sz w:val="24"/>
          <w:szCs w:val="24"/>
        </w:rPr>
        <w:t>.</w:t>
      </w:r>
      <w:r w:rsidRPr="00956620">
        <w:rPr>
          <w:b w:val="0"/>
          <w:bCs w:val="0"/>
          <w:color w:val="202A43"/>
          <w:sz w:val="24"/>
          <w:szCs w:val="24"/>
        </w:rPr>
        <w:t xml:space="preserve"> </w:t>
      </w:r>
      <w:r w:rsidRPr="004B6855">
        <w:rPr>
          <w:b w:val="0"/>
          <w:bCs w:val="0"/>
          <w:color w:val="202A43"/>
          <w:sz w:val="24"/>
          <w:szCs w:val="24"/>
        </w:rPr>
        <w:t>https://www.nationalfamilyplanning.org/page.aspx?pid=422</w:t>
      </w:r>
      <w:r w:rsidRPr="00956620">
        <w:rPr>
          <w:b w:val="0"/>
          <w:bCs w:val="0"/>
          <w:color w:val="202A43"/>
          <w:sz w:val="24"/>
          <w:szCs w:val="24"/>
        </w:rPr>
        <w:t>.</w:t>
      </w:r>
    </w:p>
    <w:p w14:paraId="02F740ED" w14:textId="5D8B2160" w:rsidR="00D053B6" w:rsidRDefault="00D053B6" w:rsidP="00790DFB">
      <w:pPr>
        <w:pStyle w:val="NormalWeb"/>
        <w:spacing w:before="0" w:beforeAutospacing="0" w:after="0" w:afterAutospacing="0" w:line="480" w:lineRule="auto"/>
        <w:ind w:left="720" w:hanging="720"/>
        <w:rPr>
          <w:color w:val="000000"/>
        </w:rPr>
      </w:pPr>
      <w:r w:rsidRPr="00D053B6">
        <w:rPr>
          <w:color w:val="000000"/>
        </w:rPr>
        <w:t> “About: National Family Planning &amp; Reproductive Health Association</w:t>
      </w:r>
      <w:r>
        <w:rPr>
          <w:color w:val="000000"/>
        </w:rPr>
        <w:t>.</w:t>
      </w:r>
      <w:r w:rsidRPr="00D053B6">
        <w:rPr>
          <w:color w:val="000000"/>
        </w:rPr>
        <w:t xml:space="preserve">” </w:t>
      </w:r>
      <w:r w:rsidR="003A2CC6">
        <w:rPr>
          <w:color w:val="000000"/>
        </w:rPr>
        <w:t>National Family Planning an</w:t>
      </w:r>
      <w:r w:rsidR="00956620">
        <w:rPr>
          <w:color w:val="000000"/>
        </w:rPr>
        <w:t>d</w:t>
      </w:r>
      <w:r w:rsidR="003A2CC6">
        <w:rPr>
          <w:color w:val="000000"/>
        </w:rPr>
        <w:t xml:space="preserve"> Reproductive Health Association</w:t>
      </w:r>
      <w:r w:rsidR="001C4F29">
        <w:rPr>
          <w:color w:val="000000"/>
        </w:rPr>
        <w:t>, a</w:t>
      </w:r>
      <w:r w:rsidR="00956620">
        <w:rPr>
          <w:color w:val="000000"/>
        </w:rPr>
        <w:t xml:space="preserve">ccessed 13 April 2021. </w:t>
      </w:r>
      <w:r w:rsidRPr="00D053B6">
        <w:rPr>
          <w:color w:val="000000"/>
        </w:rPr>
        <w:t>https://www.nationalfamilyplanning.org/file/About-NFPRHA-08212018.pdf.</w:t>
      </w:r>
    </w:p>
    <w:p w14:paraId="1AA1ED7B" w14:textId="47DFC142" w:rsidR="009556F6" w:rsidRDefault="009556F6" w:rsidP="00790DFB">
      <w:pPr>
        <w:spacing w:line="480" w:lineRule="auto"/>
        <w:ind w:left="720" w:hanging="720"/>
        <w:rPr>
          <w:rFonts w:ascii="Times New Roman" w:hAnsi="Times New Roman" w:cs="Times New Roman"/>
          <w:color w:val="000000"/>
        </w:rPr>
      </w:pPr>
      <w:r w:rsidRPr="009556F6">
        <w:rPr>
          <w:rFonts w:ascii="Times New Roman" w:hAnsi="Times New Roman" w:cs="Times New Roman"/>
          <w:color w:val="000000"/>
        </w:rPr>
        <w:t>“About: Staff</w:t>
      </w:r>
      <w:r>
        <w:rPr>
          <w:rFonts w:ascii="Times New Roman" w:hAnsi="Times New Roman" w:cs="Times New Roman"/>
          <w:color w:val="000000"/>
        </w:rPr>
        <w:t>.</w:t>
      </w:r>
      <w:r w:rsidRPr="009556F6">
        <w:rPr>
          <w:rFonts w:ascii="Times New Roman" w:hAnsi="Times New Roman" w:cs="Times New Roman"/>
          <w:color w:val="000000"/>
        </w:rPr>
        <w:t>” National Family Planning</w:t>
      </w:r>
      <w:r>
        <w:rPr>
          <w:rFonts w:ascii="Times New Roman" w:hAnsi="Times New Roman" w:cs="Times New Roman"/>
          <w:color w:val="000000"/>
        </w:rPr>
        <w:t>.</w:t>
      </w:r>
      <w:r w:rsidRPr="009556F6">
        <w:rPr>
          <w:rFonts w:ascii="Times New Roman" w:hAnsi="Times New Roman" w:cs="Times New Roman"/>
          <w:color w:val="000000"/>
        </w:rPr>
        <w:t xml:space="preserve"> National Family Planning &amp; Reproductive Health Association</w:t>
      </w:r>
      <w:r w:rsidR="001C4F29">
        <w:rPr>
          <w:rFonts w:ascii="Times New Roman" w:hAnsi="Times New Roman" w:cs="Times New Roman"/>
          <w:color w:val="000000"/>
        </w:rPr>
        <w:t>, a</w:t>
      </w:r>
      <w:r w:rsidRPr="009556F6">
        <w:rPr>
          <w:rFonts w:ascii="Times New Roman" w:hAnsi="Times New Roman" w:cs="Times New Roman"/>
          <w:color w:val="000000"/>
        </w:rPr>
        <w:t>ccessed 10 April 2021</w:t>
      </w:r>
      <w:r>
        <w:rPr>
          <w:rFonts w:ascii="Times New Roman" w:hAnsi="Times New Roman" w:cs="Times New Roman"/>
          <w:color w:val="000000"/>
        </w:rPr>
        <w:t xml:space="preserve">. </w:t>
      </w:r>
      <w:r w:rsidR="00D21667" w:rsidRPr="00D21667">
        <w:rPr>
          <w:rFonts w:ascii="Times New Roman" w:hAnsi="Times New Roman" w:cs="Times New Roman"/>
          <w:color w:val="000000"/>
        </w:rPr>
        <w:t>https://www.nationalfamilyplanning.org/page.aspx?pid=426</w:t>
      </w:r>
      <w:r w:rsidRPr="009556F6">
        <w:rPr>
          <w:rFonts w:ascii="Times New Roman" w:hAnsi="Times New Roman" w:cs="Times New Roman"/>
          <w:color w:val="000000"/>
        </w:rPr>
        <w:t xml:space="preserve">. </w:t>
      </w:r>
    </w:p>
    <w:p w14:paraId="0E713314" w14:textId="1389F90C" w:rsidR="00D21667" w:rsidRPr="00D21667" w:rsidRDefault="00D21667" w:rsidP="00790DFB">
      <w:pPr>
        <w:pStyle w:val="FootnoteText"/>
        <w:spacing w:line="480" w:lineRule="auto"/>
        <w:ind w:left="720" w:hanging="720"/>
        <w:rPr>
          <w:rFonts w:ascii="Times New Roman" w:hAnsi="Times New Roman" w:cs="Times New Roman"/>
          <w:sz w:val="24"/>
          <w:szCs w:val="24"/>
        </w:rPr>
      </w:pPr>
      <w:r w:rsidRPr="00D21667">
        <w:rPr>
          <w:rFonts w:ascii="Times New Roman" w:hAnsi="Times New Roman" w:cs="Times New Roman"/>
          <w:sz w:val="24"/>
          <w:szCs w:val="24"/>
        </w:rPr>
        <w:t xml:space="preserve">“Breakthrough/Breakdown: A Historic Year in Federal Policy.” National Family Planning &amp; Reproductive Health Association. 2010. https://www.nationalfamilyplanning.org/document.doc?id=181. </w:t>
      </w:r>
    </w:p>
    <w:p w14:paraId="296F82DC" w14:textId="4E86B0E4" w:rsidR="000342DE" w:rsidRPr="000342DE" w:rsidRDefault="000342DE" w:rsidP="00790DFB">
      <w:pPr>
        <w:pStyle w:val="FootnoteText"/>
        <w:spacing w:line="480" w:lineRule="auto"/>
        <w:ind w:left="720" w:hanging="720"/>
        <w:rPr>
          <w:rFonts w:ascii="Times New Roman" w:hAnsi="Times New Roman" w:cs="Times New Roman"/>
          <w:sz w:val="24"/>
          <w:szCs w:val="24"/>
        </w:rPr>
      </w:pPr>
      <w:r w:rsidRPr="000342DE">
        <w:rPr>
          <w:rFonts w:ascii="Times New Roman" w:hAnsi="Times New Roman" w:cs="Times New Roman"/>
          <w:sz w:val="24"/>
          <w:szCs w:val="24"/>
        </w:rPr>
        <w:t>“Burwell v. Hobby Lobby Stores</w:t>
      </w:r>
      <w:r w:rsidR="00C675CD">
        <w:rPr>
          <w:rFonts w:ascii="Times New Roman" w:hAnsi="Times New Roman" w:cs="Times New Roman"/>
          <w:sz w:val="24"/>
          <w:szCs w:val="24"/>
        </w:rPr>
        <w:t>.</w:t>
      </w:r>
      <w:r w:rsidRPr="000342DE">
        <w:rPr>
          <w:rFonts w:ascii="Times New Roman" w:hAnsi="Times New Roman" w:cs="Times New Roman"/>
          <w:sz w:val="24"/>
          <w:szCs w:val="24"/>
        </w:rPr>
        <w:t>” Oyez, Accessed 13 April 2021</w:t>
      </w:r>
      <w:r w:rsidR="00C675CD">
        <w:rPr>
          <w:rFonts w:ascii="Times New Roman" w:hAnsi="Times New Roman" w:cs="Times New Roman"/>
          <w:sz w:val="24"/>
          <w:szCs w:val="24"/>
        </w:rPr>
        <w:t>.</w:t>
      </w:r>
      <w:r w:rsidRPr="000342DE">
        <w:rPr>
          <w:rFonts w:ascii="Times New Roman" w:hAnsi="Times New Roman" w:cs="Times New Roman"/>
          <w:sz w:val="24"/>
          <w:szCs w:val="24"/>
        </w:rPr>
        <w:t xml:space="preserve"> https://www.oyez.org/cases/2013/13-354.</w:t>
      </w:r>
    </w:p>
    <w:p w14:paraId="11D2A7A6" w14:textId="27EBD4FC" w:rsidR="00EF47AF" w:rsidRDefault="00EF47AF" w:rsidP="00790DFB">
      <w:pPr>
        <w:pStyle w:val="FootnoteText"/>
        <w:spacing w:line="480" w:lineRule="auto"/>
        <w:ind w:left="720" w:hanging="720"/>
        <w:rPr>
          <w:rFonts w:ascii="Times New Roman" w:hAnsi="Times New Roman" w:cs="Times New Roman"/>
          <w:sz w:val="24"/>
          <w:szCs w:val="24"/>
        </w:rPr>
      </w:pPr>
      <w:r w:rsidRPr="00E47C64">
        <w:rPr>
          <w:rFonts w:ascii="Times New Roman" w:hAnsi="Times New Roman" w:cs="Times New Roman"/>
          <w:sz w:val="24"/>
          <w:szCs w:val="24"/>
        </w:rPr>
        <w:t>Coleman, Clare</w:t>
      </w:r>
      <w:r>
        <w:rPr>
          <w:rFonts w:ascii="Times New Roman" w:hAnsi="Times New Roman" w:cs="Times New Roman"/>
          <w:sz w:val="24"/>
          <w:szCs w:val="24"/>
        </w:rPr>
        <w:t>.</w:t>
      </w:r>
      <w:r w:rsidRPr="00E47C64">
        <w:rPr>
          <w:rFonts w:ascii="Times New Roman" w:hAnsi="Times New Roman" w:cs="Times New Roman"/>
          <w:sz w:val="24"/>
          <w:szCs w:val="24"/>
        </w:rPr>
        <w:t xml:space="preserve"> “Appropriations Request Letter</w:t>
      </w:r>
      <w:r>
        <w:rPr>
          <w:rFonts w:ascii="Times New Roman" w:hAnsi="Times New Roman" w:cs="Times New Roman"/>
          <w:sz w:val="24"/>
          <w:szCs w:val="24"/>
        </w:rPr>
        <w:t>.</w:t>
      </w:r>
      <w:r w:rsidRPr="00E47C64">
        <w:rPr>
          <w:rFonts w:ascii="Times New Roman" w:hAnsi="Times New Roman" w:cs="Times New Roman"/>
          <w:sz w:val="24"/>
          <w:szCs w:val="24"/>
        </w:rPr>
        <w:t>” NFPRHA</w:t>
      </w:r>
      <w:r>
        <w:rPr>
          <w:rFonts w:ascii="Times New Roman" w:hAnsi="Times New Roman" w:cs="Times New Roman"/>
          <w:sz w:val="24"/>
          <w:szCs w:val="24"/>
        </w:rPr>
        <w:t>.</w:t>
      </w:r>
      <w:r w:rsidRPr="00E47C64">
        <w:rPr>
          <w:rFonts w:ascii="Times New Roman" w:hAnsi="Times New Roman" w:cs="Times New Roman"/>
          <w:sz w:val="24"/>
          <w:szCs w:val="24"/>
        </w:rPr>
        <w:t xml:space="preserve"> National Family Planning and Reproductive Health Association, 31 March 2010</w:t>
      </w:r>
      <w:r>
        <w:rPr>
          <w:rFonts w:ascii="Times New Roman" w:hAnsi="Times New Roman" w:cs="Times New Roman"/>
          <w:sz w:val="24"/>
          <w:szCs w:val="24"/>
        </w:rPr>
        <w:t xml:space="preserve">. </w:t>
      </w:r>
      <w:r w:rsidRPr="00E47C64">
        <w:rPr>
          <w:rFonts w:ascii="Times New Roman" w:hAnsi="Times New Roman" w:cs="Times New Roman"/>
          <w:sz w:val="24"/>
          <w:szCs w:val="24"/>
        </w:rPr>
        <w:t>https://www.nationalfamilyplanning.org/document.doc?id=408.</w:t>
      </w:r>
    </w:p>
    <w:p w14:paraId="1D7170F0" w14:textId="20FC804C" w:rsidR="001C4F29" w:rsidRPr="001C4F29" w:rsidRDefault="001C4F29" w:rsidP="00790DFB">
      <w:pPr>
        <w:pStyle w:val="FootnoteText"/>
        <w:spacing w:line="480" w:lineRule="auto"/>
        <w:ind w:left="720" w:hanging="720"/>
        <w:rPr>
          <w:rFonts w:ascii="Times New Roman" w:hAnsi="Times New Roman" w:cs="Times New Roman"/>
          <w:sz w:val="24"/>
          <w:szCs w:val="24"/>
        </w:rPr>
      </w:pPr>
      <w:r w:rsidRPr="001C4F29">
        <w:rPr>
          <w:rFonts w:ascii="Times New Roman" w:hAnsi="Times New Roman" w:cs="Times New Roman"/>
          <w:sz w:val="24"/>
          <w:szCs w:val="24"/>
        </w:rPr>
        <w:lastRenderedPageBreak/>
        <w:t>Coleman, Clare</w:t>
      </w:r>
      <w:r>
        <w:rPr>
          <w:rFonts w:ascii="Times New Roman" w:hAnsi="Times New Roman" w:cs="Times New Roman"/>
          <w:sz w:val="24"/>
          <w:szCs w:val="24"/>
        </w:rPr>
        <w:t>.</w:t>
      </w:r>
      <w:r w:rsidRPr="001C4F29">
        <w:rPr>
          <w:rFonts w:ascii="Times New Roman" w:hAnsi="Times New Roman" w:cs="Times New Roman"/>
          <w:sz w:val="24"/>
          <w:szCs w:val="24"/>
        </w:rPr>
        <w:t xml:space="preserve"> “Comments on OCIIO‐992‐IFC, Interim Final Rules for Group Health Plans and Health Insurance Issuers Relating to Coverage of Preventive Services under the Patient Protection and Affordable Care Act</w:t>
      </w:r>
      <w:r>
        <w:rPr>
          <w:rFonts w:ascii="Times New Roman" w:hAnsi="Times New Roman" w:cs="Times New Roman"/>
          <w:sz w:val="24"/>
          <w:szCs w:val="24"/>
        </w:rPr>
        <w:t>.</w:t>
      </w:r>
      <w:r w:rsidRPr="001C4F29">
        <w:rPr>
          <w:rFonts w:ascii="Times New Roman" w:hAnsi="Times New Roman" w:cs="Times New Roman"/>
          <w:sz w:val="24"/>
          <w:szCs w:val="24"/>
        </w:rPr>
        <w:t>” NFPRHA</w:t>
      </w:r>
      <w:r>
        <w:rPr>
          <w:rFonts w:ascii="Times New Roman" w:hAnsi="Times New Roman" w:cs="Times New Roman"/>
          <w:sz w:val="24"/>
          <w:szCs w:val="24"/>
        </w:rPr>
        <w:t>.</w:t>
      </w:r>
      <w:r w:rsidRPr="001C4F29">
        <w:rPr>
          <w:rFonts w:ascii="Times New Roman" w:hAnsi="Times New Roman" w:cs="Times New Roman"/>
          <w:sz w:val="24"/>
          <w:szCs w:val="24"/>
        </w:rPr>
        <w:t xml:space="preserve"> The Voice of Family Planning, 17 September 2010</w:t>
      </w:r>
      <w:r>
        <w:rPr>
          <w:rFonts w:ascii="Times New Roman" w:hAnsi="Times New Roman" w:cs="Times New Roman"/>
          <w:sz w:val="24"/>
          <w:szCs w:val="24"/>
        </w:rPr>
        <w:t>.</w:t>
      </w:r>
      <w:r w:rsidRPr="001C4F29">
        <w:rPr>
          <w:rFonts w:ascii="Times New Roman" w:hAnsi="Times New Roman" w:cs="Times New Roman"/>
          <w:sz w:val="24"/>
          <w:szCs w:val="24"/>
        </w:rPr>
        <w:t xml:space="preserve"> </w:t>
      </w:r>
      <w:r w:rsidR="00E47C64" w:rsidRPr="00E47C64">
        <w:rPr>
          <w:rFonts w:ascii="Times New Roman" w:hAnsi="Times New Roman" w:cs="Times New Roman"/>
          <w:sz w:val="24"/>
          <w:szCs w:val="24"/>
        </w:rPr>
        <w:t>https://www.dol.gov/sites/dolgov/files/EBSA/laws-and-regulations/rules-and-regulations/public-comments/1210-AB44/00191.pdf</w:t>
      </w:r>
      <w:r w:rsidRPr="001C4F29">
        <w:rPr>
          <w:rFonts w:ascii="Times New Roman" w:hAnsi="Times New Roman" w:cs="Times New Roman"/>
          <w:sz w:val="24"/>
          <w:szCs w:val="24"/>
        </w:rPr>
        <w:t>.</w:t>
      </w:r>
    </w:p>
    <w:p w14:paraId="5A3116E4" w14:textId="3819CB70" w:rsidR="00CA155F" w:rsidRPr="00CA155F" w:rsidRDefault="00CA155F" w:rsidP="00790DFB">
      <w:pPr>
        <w:spacing w:line="480" w:lineRule="auto"/>
        <w:ind w:left="720" w:hanging="720"/>
        <w:rPr>
          <w:rFonts w:ascii="Times New Roman" w:hAnsi="Times New Roman" w:cs="Times New Roman"/>
          <w:color w:val="000000"/>
        </w:rPr>
      </w:pPr>
      <w:r w:rsidRPr="00CA155F">
        <w:rPr>
          <w:rFonts w:ascii="Times New Roman" w:hAnsi="Times New Roman" w:cs="Times New Roman"/>
        </w:rPr>
        <w:t>Coleman, Clare</w:t>
      </w:r>
      <w:r>
        <w:rPr>
          <w:rFonts w:ascii="Times New Roman" w:hAnsi="Times New Roman" w:cs="Times New Roman"/>
        </w:rPr>
        <w:t>.</w:t>
      </w:r>
      <w:r w:rsidRPr="00CA155F">
        <w:rPr>
          <w:rFonts w:ascii="Times New Roman" w:hAnsi="Times New Roman" w:cs="Times New Roman"/>
        </w:rPr>
        <w:t xml:space="preserve"> “Moral Exemptions and Accommodations for Coverage of Certain Preventive Services Under the Affordable Care Act (CMS-9925-IFC)</w:t>
      </w:r>
      <w:r>
        <w:rPr>
          <w:rFonts w:ascii="Times New Roman" w:hAnsi="Times New Roman" w:cs="Times New Roman"/>
        </w:rPr>
        <w:t>.</w:t>
      </w:r>
      <w:r w:rsidRPr="00CA155F">
        <w:rPr>
          <w:rFonts w:ascii="Times New Roman" w:hAnsi="Times New Roman" w:cs="Times New Roman"/>
        </w:rPr>
        <w:t>” National Family Planning &amp; Reproductive Health Association</w:t>
      </w:r>
      <w:r>
        <w:rPr>
          <w:rFonts w:ascii="Times New Roman" w:hAnsi="Times New Roman" w:cs="Times New Roman"/>
        </w:rPr>
        <w:t>.</w:t>
      </w:r>
      <w:r w:rsidRPr="00CA155F">
        <w:rPr>
          <w:rFonts w:ascii="Times New Roman" w:hAnsi="Times New Roman" w:cs="Times New Roman"/>
        </w:rPr>
        <w:t xml:space="preserve"> NFPRHA, 5 December 2017</w:t>
      </w:r>
      <w:r>
        <w:rPr>
          <w:rFonts w:ascii="Times New Roman" w:hAnsi="Times New Roman" w:cs="Times New Roman"/>
        </w:rPr>
        <w:t xml:space="preserve">. </w:t>
      </w:r>
      <w:r w:rsidRPr="00CA155F">
        <w:rPr>
          <w:rFonts w:ascii="Times New Roman" w:hAnsi="Times New Roman" w:cs="Times New Roman"/>
        </w:rPr>
        <w:t>https://www.nationalfamilyplanning.org/file/NFPRHAcomments_moral_exemptions_contraceptive-coverage_IFR_FINAL.pdf.</w:t>
      </w:r>
    </w:p>
    <w:p w14:paraId="3F6221DB" w14:textId="49035BEA" w:rsidR="00EF47AF" w:rsidRDefault="00EF47AF" w:rsidP="00790DFB">
      <w:pPr>
        <w:spacing w:line="480" w:lineRule="auto"/>
        <w:ind w:left="720" w:hanging="720"/>
        <w:rPr>
          <w:rFonts w:ascii="Times New Roman" w:hAnsi="Times New Roman" w:cs="Times New Roman"/>
          <w:color w:val="000000"/>
        </w:rPr>
      </w:pPr>
      <w:r w:rsidRPr="00EF47AF">
        <w:rPr>
          <w:rFonts w:ascii="Times New Roman" w:hAnsi="Times New Roman" w:cs="Times New Roman"/>
          <w:color w:val="000000"/>
        </w:rPr>
        <w:t>Coleman, Clare</w:t>
      </w:r>
      <w:r w:rsidR="00CA155F">
        <w:rPr>
          <w:rFonts w:ascii="Times New Roman" w:hAnsi="Times New Roman" w:cs="Times New Roman"/>
          <w:color w:val="000000"/>
        </w:rPr>
        <w:t>.</w:t>
      </w:r>
      <w:r w:rsidRPr="00EF47AF">
        <w:rPr>
          <w:rFonts w:ascii="Times New Roman" w:hAnsi="Times New Roman" w:cs="Times New Roman"/>
          <w:color w:val="000000"/>
        </w:rPr>
        <w:t xml:space="preserve"> “Religious Exemptions and Accommodations for Coverage of Certain Preventive Services Under the Affordable Care Act (CMS-9940-IFC).” National Family Planning &amp; Reproductive Health Association. NFPRHA, 5 December 2017. https://www.nationalfamilyplanning.org/file/NFPRHAcomments_religious_exemptions_contraceptive-coverage_IFR_FINAL_.pdf.</w:t>
      </w:r>
    </w:p>
    <w:p w14:paraId="086A754C" w14:textId="6869D6CB" w:rsidR="00EC13B0" w:rsidRPr="00EC13B0" w:rsidRDefault="00EC13B0" w:rsidP="00790DFB">
      <w:pPr>
        <w:spacing w:line="480" w:lineRule="auto"/>
        <w:ind w:left="720" w:hanging="720"/>
        <w:rPr>
          <w:rFonts w:ascii="Times New Roman" w:hAnsi="Times New Roman" w:cs="Times New Roman"/>
        </w:rPr>
      </w:pPr>
      <w:r w:rsidRPr="00EC13B0">
        <w:rPr>
          <w:rFonts w:ascii="Times New Roman" w:hAnsi="Times New Roman" w:cs="Times New Roman"/>
          <w:color w:val="000000"/>
        </w:rPr>
        <w:t>“David Zubnik, et al. v. Sylvia Burwell, et al.” The Supreme Court of the United States</w:t>
      </w:r>
      <w:r>
        <w:rPr>
          <w:rFonts w:ascii="Times New Roman" w:hAnsi="Times New Roman" w:cs="Times New Roman"/>
          <w:color w:val="000000"/>
        </w:rPr>
        <w:t>.</w:t>
      </w:r>
      <w:r w:rsidRPr="00EC13B0">
        <w:rPr>
          <w:rFonts w:ascii="Times New Roman" w:hAnsi="Times New Roman" w:cs="Times New Roman"/>
          <w:color w:val="000000"/>
        </w:rPr>
        <w:t xml:space="preserve"> NFPRHA, 2014</w:t>
      </w:r>
      <w:r>
        <w:rPr>
          <w:rFonts w:ascii="Times New Roman" w:hAnsi="Times New Roman" w:cs="Times New Roman"/>
          <w:color w:val="000000"/>
        </w:rPr>
        <w:t xml:space="preserve">. </w:t>
      </w:r>
      <w:r w:rsidRPr="00EC13B0">
        <w:rPr>
          <w:rFonts w:ascii="Times New Roman" w:hAnsi="Times New Roman" w:cs="Times New Roman"/>
          <w:color w:val="000000"/>
        </w:rPr>
        <w:t>https://www.nationalfamilyplanning.org/file/NHelpZubikAmicusBrief.pdf.</w:t>
      </w:r>
    </w:p>
    <w:p w14:paraId="5B0A834A" w14:textId="7EE50E2C" w:rsidR="00EC13B0" w:rsidRDefault="00EC13B0" w:rsidP="00790DFB">
      <w:pPr>
        <w:spacing w:line="480" w:lineRule="auto"/>
        <w:ind w:left="720" w:hanging="720"/>
        <w:rPr>
          <w:rFonts w:ascii="Times New Roman" w:hAnsi="Times New Roman" w:cs="Times New Roman"/>
        </w:rPr>
      </w:pPr>
      <w:r w:rsidRPr="006B0F6A">
        <w:rPr>
          <w:rFonts w:ascii="Times New Roman" w:hAnsi="Times New Roman" w:cs="Times New Roman"/>
        </w:rPr>
        <w:t>Helsing, Karen</w:t>
      </w:r>
      <w:r>
        <w:rPr>
          <w:rFonts w:ascii="Times New Roman" w:hAnsi="Times New Roman" w:cs="Times New Roman"/>
        </w:rPr>
        <w:t>.</w:t>
      </w:r>
      <w:r w:rsidRPr="006B0F6A">
        <w:rPr>
          <w:rFonts w:ascii="Times New Roman" w:hAnsi="Times New Roman" w:cs="Times New Roman"/>
        </w:rPr>
        <w:t xml:space="preserve"> “Clinical Preventive Services for Women: Closing the Gaps</w:t>
      </w:r>
      <w:r>
        <w:rPr>
          <w:rFonts w:ascii="Times New Roman" w:hAnsi="Times New Roman" w:cs="Times New Roman"/>
        </w:rPr>
        <w:t>.</w:t>
      </w:r>
      <w:r w:rsidRPr="006B0F6A">
        <w:rPr>
          <w:rFonts w:ascii="Times New Roman" w:hAnsi="Times New Roman" w:cs="Times New Roman"/>
        </w:rPr>
        <w:t>” Institute of Medicine</w:t>
      </w:r>
      <w:r>
        <w:rPr>
          <w:rFonts w:ascii="Times New Roman" w:hAnsi="Times New Roman" w:cs="Times New Roman"/>
        </w:rPr>
        <w:t xml:space="preserve">. </w:t>
      </w:r>
      <w:r w:rsidRPr="006B0F6A">
        <w:rPr>
          <w:rFonts w:ascii="Times New Roman" w:hAnsi="Times New Roman" w:cs="Times New Roman"/>
        </w:rPr>
        <w:t>The National Academy of Sciences, July 2011</w:t>
      </w:r>
      <w:r>
        <w:rPr>
          <w:rFonts w:ascii="Times New Roman" w:hAnsi="Times New Roman" w:cs="Times New Roman"/>
        </w:rPr>
        <w:t>.</w:t>
      </w:r>
      <w:r w:rsidRPr="006B0F6A">
        <w:rPr>
          <w:rFonts w:ascii="Times New Roman" w:hAnsi="Times New Roman" w:cs="Times New Roman"/>
        </w:rPr>
        <w:t xml:space="preserve"> </w:t>
      </w:r>
      <w:r w:rsidRPr="00E47C64">
        <w:rPr>
          <w:rFonts w:ascii="Times New Roman" w:hAnsi="Times New Roman" w:cs="Times New Roman"/>
        </w:rPr>
        <w:t>https://www.nap.edu/resource/13181/reportbrief.pdf</w:t>
      </w:r>
      <w:r>
        <w:rPr>
          <w:rFonts w:ascii="Times New Roman" w:hAnsi="Times New Roman" w:cs="Times New Roman"/>
        </w:rPr>
        <w:t>.</w:t>
      </w:r>
    </w:p>
    <w:p w14:paraId="666D163E" w14:textId="1445F667" w:rsidR="00A454E8" w:rsidRDefault="00A454E8" w:rsidP="00790DFB">
      <w:pPr>
        <w:spacing w:line="480" w:lineRule="auto"/>
        <w:ind w:left="720" w:hanging="720"/>
        <w:rPr>
          <w:rFonts w:ascii="Times New Roman" w:hAnsi="Times New Roman" w:cs="Times New Roman"/>
        </w:rPr>
      </w:pPr>
      <w:r w:rsidRPr="00265445">
        <w:rPr>
          <w:rFonts w:ascii="Times New Roman" w:hAnsi="Times New Roman" w:cs="Times New Roman"/>
        </w:rPr>
        <w:lastRenderedPageBreak/>
        <w:t>“History and Timeline of the Affordable Care Act (ACA</w:t>
      </w:r>
      <w:r>
        <w:rPr>
          <w:rFonts w:ascii="Times New Roman" w:hAnsi="Times New Roman" w:cs="Times New Roman"/>
        </w:rPr>
        <w:t>).</w:t>
      </w:r>
      <w:r w:rsidRPr="00265445">
        <w:rPr>
          <w:rFonts w:ascii="Times New Roman" w:hAnsi="Times New Roman" w:cs="Times New Roman"/>
        </w:rPr>
        <w:t>” eHealth</w:t>
      </w:r>
      <w:r>
        <w:rPr>
          <w:rFonts w:ascii="Times New Roman" w:hAnsi="Times New Roman" w:cs="Times New Roman"/>
        </w:rPr>
        <w:t xml:space="preserve">. </w:t>
      </w:r>
      <w:r w:rsidRPr="00A454E8">
        <w:rPr>
          <w:rFonts w:ascii="Times New Roman" w:hAnsi="Times New Roman" w:cs="Times New Roman"/>
        </w:rPr>
        <w:t>eHealthInsurance Services, Inc.,</w:t>
      </w:r>
      <w:r w:rsidRPr="00265445">
        <w:rPr>
          <w:rFonts w:ascii="Times New Roman" w:hAnsi="Times New Roman" w:cs="Times New Roman"/>
        </w:rPr>
        <w:t xml:space="preserve"> 24 October 202</w:t>
      </w:r>
      <w:r>
        <w:rPr>
          <w:rFonts w:ascii="Times New Roman" w:hAnsi="Times New Roman" w:cs="Times New Roman"/>
        </w:rPr>
        <w:t>0.</w:t>
      </w:r>
      <w:r w:rsidRPr="00265445">
        <w:rPr>
          <w:rFonts w:ascii="Times New Roman" w:hAnsi="Times New Roman" w:cs="Times New Roman"/>
        </w:rPr>
        <w:t xml:space="preserve"> https://www.ehealthinsurance.com/resources/affordable-care-act/history-timeline-affordable-care-act-aca.</w:t>
      </w:r>
    </w:p>
    <w:p w14:paraId="0137B773" w14:textId="01410D1C" w:rsidR="00E47C64" w:rsidRPr="00E47C64" w:rsidRDefault="00E47C64" w:rsidP="00790DFB">
      <w:pPr>
        <w:pStyle w:val="FootnoteText"/>
        <w:spacing w:line="480" w:lineRule="auto"/>
        <w:ind w:left="720" w:hanging="720"/>
        <w:rPr>
          <w:rFonts w:ascii="Times New Roman" w:hAnsi="Times New Roman" w:cs="Times New Roman"/>
          <w:sz w:val="24"/>
          <w:szCs w:val="24"/>
        </w:rPr>
      </w:pPr>
      <w:r w:rsidRPr="00E47C64">
        <w:rPr>
          <w:rFonts w:ascii="Times New Roman" w:hAnsi="Times New Roman" w:cs="Times New Roman"/>
          <w:sz w:val="24"/>
          <w:szCs w:val="24"/>
        </w:rPr>
        <w:t>“H.Res.1476 - Supporting and recognizing the achievements of the family planning services programs operating under title X of the Public Health Service Act</w:t>
      </w:r>
      <w:r>
        <w:rPr>
          <w:rFonts w:ascii="Times New Roman" w:hAnsi="Times New Roman" w:cs="Times New Roman"/>
          <w:sz w:val="24"/>
          <w:szCs w:val="24"/>
        </w:rPr>
        <w:t>.</w:t>
      </w:r>
      <w:r w:rsidRPr="00E47C64">
        <w:rPr>
          <w:rFonts w:ascii="Times New Roman" w:hAnsi="Times New Roman" w:cs="Times New Roman"/>
          <w:sz w:val="24"/>
          <w:szCs w:val="24"/>
        </w:rPr>
        <w:t>” Congress.gov</w:t>
      </w:r>
      <w:r>
        <w:rPr>
          <w:rFonts w:ascii="Times New Roman" w:hAnsi="Times New Roman" w:cs="Times New Roman"/>
          <w:sz w:val="24"/>
          <w:szCs w:val="24"/>
        </w:rPr>
        <w:t>.</w:t>
      </w:r>
      <w:r w:rsidRPr="00E47C64">
        <w:rPr>
          <w:rFonts w:ascii="Times New Roman" w:hAnsi="Times New Roman" w:cs="Times New Roman"/>
          <w:sz w:val="24"/>
          <w:szCs w:val="24"/>
        </w:rPr>
        <w:t xml:space="preserve"> Library of Congress, 2019-2010</w:t>
      </w:r>
      <w:r>
        <w:rPr>
          <w:rFonts w:ascii="Times New Roman" w:hAnsi="Times New Roman" w:cs="Times New Roman"/>
          <w:sz w:val="24"/>
          <w:szCs w:val="24"/>
        </w:rPr>
        <w:t>.</w:t>
      </w:r>
      <w:r w:rsidRPr="00E47C64">
        <w:rPr>
          <w:rFonts w:ascii="Times New Roman" w:hAnsi="Times New Roman" w:cs="Times New Roman"/>
          <w:sz w:val="24"/>
          <w:szCs w:val="24"/>
        </w:rPr>
        <w:t xml:space="preserve"> https://www.congress.gov/bill/111th-congress/house-resolution/1476. </w:t>
      </w:r>
    </w:p>
    <w:p w14:paraId="720775BB" w14:textId="21D32478" w:rsidR="00C604C5" w:rsidRDefault="00C604C5" w:rsidP="00790DFB">
      <w:pPr>
        <w:pStyle w:val="Heading1"/>
        <w:spacing w:line="480" w:lineRule="auto"/>
        <w:ind w:left="720" w:hanging="720"/>
        <w:rPr>
          <w:b w:val="0"/>
          <w:bCs w:val="0"/>
          <w:color w:val="202A43"/>
          <w:sz w:val="24"/>
          <w:szCs w:val="24"/>
        </w:rPr>
      </w:pPr>
      <w:r w:rsidRPr="00C604C5">
        <w:rPr>
          <w:b w:val="0"/>
          <w:bCs w:val="0"/>
          <w:color w:val="202A43"/>
          <w:sz w:val="24"/>
          <w:szCs w:val="24"/>
        </w:rPr>
        <w:t>“Issues: Contraceptive Coverage/Preventive Services</w:t>
      </w:r>
      <w:r>
        <w:rPr>
          <w:b w:val="0"/>
          <w:bCs w:val="0"/>
          <w:color w:val="202A43"/>
          <w:sz w:val="24"/>
          <w:szCs w:val="24"/>
        </w:rPr>
        <w:t>.</w:t>
      </w:r>
      <w:r w:rsidRPr="00C604C5">
        <w:rPr>
          <w:b w:val="0"/>
          <w:bCs w:val="0"/>
          <w:color w:val="202A43"/>
          <w:sz w:val="24"/>
          <w:szCs w:val="24"/>
        </w:rPr>
        <w:t>” National Family Planning</w:t>
      </w:r>
      <w:r>
        <w:rPr>
          <w:b w:val="0"/>
          <w:bCs w:val="0"/>
          <w:color w:val="202A43"/>
          <w:sz w:val="24"/>
          <w:szCs w:val="24"/>
        </w:rPr>
        <w:t>.</w:t>
      </w:r>
      <w:r w:rsidRPr="00C604C5">
        <w:rPr>
          <w:b w:val="0"/>
          <w:bCs w:val="0"/>
          <w:color w:val="202A43"/>
          <w:sz w:val="24"/>
          <w:szCs w:val="24"/>
        </w:rPr>
        <w:t xml:space="preserve"> National Family Planning &amp; Reproductive Health Association, accessed 12 April 2021</w:t>
      </w:r>
      <w:r>
        <w:rPr>
          <w:b w:val="0"/>
          <w:bCs w:val="0"/>
          <w:color w:val="202A43"/>
          <w:sz w:val="24"/>
          <w:szCs w:val="24"/>
        </w:rPr>
        <w:t>.</w:t>
      </w:r>
      <w:r w:rsidRPr="00C604C5">
        <w:rPr>
          <w:b w:val="0"/>
          <w:bCs w:val="0"/>
          <w:color w:val="202A43"/>
          <w:sz w:val="24"/>
          <w:szCs w:val="24"/>
        </w:rPr>
        <w:t xml:space="preserve"> https://www.nationalfamilyplanning.org/Contraceptive_Coverage_Preventive_Services-Legal_Action.</w:t>
      </w:r>
    </w:p>
    <w:p w14:paraId="13F70BE7" w14:textId="432EB5F6" w:rsidR="009556F6" w:rsidRDefault="00E47C64" w:rsidP="00790DFB">
      <w:pPr>
        <w:pStyle w:val="Heading1"/>
        <w:spacing w:line="480" w:lineRule="auto"/>
        <w:ind w:left="720" w:hanging="720"/>
        <w:rPr>
          <w:b w:val="0"/>
          <w:bCs w:val="0"/>
          <w:color w:val="202A43"/>
          <w:sz w:val="24"/>
          <w:szCs w:val="24"/>
        </w:rPr>
      </w:pPr>
      <w:r w:rsidRPr="00E47C64">
        <w:rPr>
          <w:b w:val="0"/>
          <w:bCs w:val="0"/>
          <w:color w:val="202A43"/>
          <w:sz w:val="24"/>
          <w:szCs w:val="24"/>
        </w:rPr>
        <w:t>“Issues: Title X</w:t>
      </w:r>
      <w:r>
        <w:rPr>
          <w:b w:val="0"/>
          <w:bCs w:val="0"/>
          <w:color w:val="202A43"/>
          <w:sz w:val="24"/>
          <w:szCs w:val="24"/>
        </w:rPr>
        <w:t>.</w:t>
      </w:r>
      <w:r w:rsidRPr="00E47C64">
        <w:rPr>
          <w:b w:val="0"/>
          <w:bCs w:val="0"/>
          <w:color w:val="202A43"/>
          <w:sz w:val="24"/>
          <w:szCs w:val="24"/>
        </w:rPr>
        <w:t>” National Family Planning</w:t>
      </w:r>
      <w:r>
        <w:rPr>
          <w:b w:val="0"/>
          <w:bCs w:val="0"/>
          <w:color w:val="202A43"/>
          <w:sz w:val="24"/>
          <w:szCs w:val="24"/>
        </w:rPr>
        <w:t>.</w:t>
      </w:r>
      <w:r w:rsidRPr="00E47C64">
        <w:rPr>
          <w:b w:val="0"/>
          <w:bCs w:val="0"/>
          <w:color w:val="202A43"/>
          <w:sz w:val="24"/>
          <w:szCs w:val="24"/>
        </w:rPr>
        <w:t xml:space="preserve"> National Family Planning &amp; Reproductive Health Association, accessed 11 April 2021</w:t>
      </w:r>
      <w:r>
        <w:rPr>
          <w:b w:val="0"/>
          <w:bCs w:val="0"/>
          <w:color w:val="202A43"/>
          <w:sz w:val="24"/>
          <w:szCs w:val="24"/>
        </w:rPr>
        <w:t>.</w:t>
      </w:r>
      <w:r w:rsidRPr="00E47C64">
        <w:rPr>
          <w:b w:val="0"/>
          <w:bCs w:val="0"/>
          <w:color w:val="202A43"/>
          <w:sz w:val="24"/>
          <w:szCs w:val="24"/>
        </w:rPr>
        <w:t xml:space="preserve"> </w:t>
      </w:r>
      <w:r w:rsidR="008D6206" w:rsidRPr="008D6206">
        <w:rPr>
          <w:b w:val="0"/>
          <w:bCs w:val="0"/>
          <w:color w:val="202A43"/>
          <w:sz w:val="24"/>
          <w:szCs w:val="24"/>
        </w:rPr>
        <w:t>https://www.nationalfamilyplanning.org/title_x</w:t>
      </w:r>
      <w:r w:rsidRPr="00E47C64">
        <w:rPr>
          <w:b w:val="0"/>
          <w:bCs w:val="0"/>
          <w:color w:val="202A43"/>
          <w:sz w:val="24"/>
          <w:szCs w:val="24"/>
        </w:rPr>
        <w:t>.</w:t>
      </w:r>
    </w:p>
    <w:p w14:paraId="5D86338A" w14:textId="3480040B" w:rsidR="002F4892" w:rsidRPr="002F4892" w:rsidRDefault="002F4892" w:rsidP="00790DFB">
      <w:pPr>
        <w:pStyle w:val="Heading1"/>
        <w:spacing w:line="480" w:lineRule="auto"/>
        <w:ind w:left="720" w:hanging="720"/>
        <w:rPr>
          <w:b w:val="0"/>
          <w:bCs w:val="0"/>
          <w:sz w:val="24"/>
          <w:szCs w:val="24"/>
        </w:rPr>
      </w:pPr>
      <w:r w:rsidRPr="002F4892">
        <w:rPr>
          <w:b w:val="0"/>
          <w:bCs w:val="0"/>
          <w:color w:val="000000"/>
          <w:sz w:val="24"/>
          <w:szCs w:val="24"/>
        </w:rPr>
        <w:t>“’Kathleen Sebelius et al. v. Hobby Lobby Stores, Inc., et al’ and ‘Conestoga Woods Specialties Corp, et al. v. Kathleen Sebelius et al.’</w:t>
      </w:r>
      <w:r>
        <w:rPr>
          <w:b w:val="0"/>
          <w:bCs w:val="0"/>
          <w:color w:val="000000"/>
          <w:sz w:val="24"/>
          <w:szCs w:val="24"/>
        </w:rPr>
        <w:t>.</w:t>
      </w:r>
      <w:r w:rsidRPr="002F4892">
        <w:rPr>
          <w:b w:val="0"/>
          <w:bCs w:val="0"/>
          <w:color w:val="000000"/>
          <w:sz w:val="24"/>
          <w:szCs w:val="24"/>
        </w:rPr>
        <w:t>” The Supreme Court of the United States</w:t>
      </w:r>
      <w:r>
        <w:rPr>
          <w:b w:val="0"/>
          <w:bCs w:val="0"/>
          <w:color w:val="000000"/>
          <w:sz w:val="24"/>
          <w:szCs w:val="24"/>
        </w:rPr>
        <w:t>.</w:t>
      </w:r>
      <w:r w:rsidRPr="002F4892">
        <w:rPr>
          <w:b w:val="0"/>
          <w:bCs w:val="0"/>
          <w:color w:val="000000"/>
          <w:sz w:val="24"/>
          <w:szCs w:val="24"/>
        </w:rPr>
        <w:t xml:space="preserve"> NFPRHA, 2016</w:t>
      </w:r>
      <w:r>
        <w:rPr>
          <w:b w:val="0"/>
          <w:bCs w:val="0"/>
          <w:color w:val="000000"/>
          <w:sz w:val="24"/>
          <w:szCs w:val="24"/>
        </w:rPr>
        <w:t>.</w:t>
      </w:r>
      <w:r w:rsidRPr="002F4892">
        <w:rPr>
          <w:b w:val="0"/>
          <w:bCs w:val="0"/>
          <w:color w:val="000000"/>
          <w:sz w:val="24"/>
          <w:szCs w:val="24"/>
        </w:rPr>
        <w:t xml:space="preserve"> https://www.nationalfamilyplanning.org/document.doc?id=1370.</w:t>
      </w:r>
    </w:p>
    <w:p w14:paraId="6B8438D1" w14:textId="3B02A6C0" w:rsidR="009A1D3B" w:rsidRDefault="009A1D3B" w:rsidP="00790DFB">
      <w:pPr>
        <w:pStyle w:val="Heading1"/>
        <w:spacing w:line="480" w:lineRule="auto"/>
        <w:ind w:left="720" w:hanging="720"/>
        <w:rPr>
          <w:b w:val="0"/>
          <w:bCs w:val="0"/>
          <w:sz w:val="24"/>
          <w:szCs w:val="24"/>
        </w:rPr>
      </w:pPr>
      <w:r w:rsidRPr="009A1D3B">
        <w:rPr>
          <w:b w:val="0"/>
          <w:bCs w:val="0"/>
          <w:sz w:val="24"/>
          <w:szCs w:val="24"/>
        </w:rPr>
        <w:t>Marcella, Jessica</w:t>
      </w:r>
      <w:r>
        <w:rPr>
          <w:b w:val="0"/>
          <w:bCs w:val="0"/>
          <w:sz w:val="24"/>
          <w:szCs w:val="24"/>
        </w:rPr>
        <w:t>.</w:t>
      </w:r>
      <w:r w:rsidRPr="009A1D3B">
        <w:rPr>
          <w:b w:val="0"/>
          <w:bCs w:val="0"/>
          <w:sz w:val="24"/>
          <w:szCs w:val="24"/>
        </w:rPr>
        <w:t xml:space="preserve"> “NFPRHA Deeply Disappointed by Supreme Court Decision to Undermine Contraceptive Access</w:t>
      </w:r>
      <w:r>
        <w:rPr>
          <w:b w:val="0"/>
          <w:bCs w:val="0"/>
          <w:sz w:val="24"/>
          <w:szCs w:val="24"/>
        </w:rPr>
        <w:t>.</w:t>
      </w:r>
      <w:r w:rsidRPr="009A1D3B">
        <w:rPr>
          <w:b w:val="0"/>
          <w:bCs w:val="0"/>
          <w:sz w:val="24"/>
          <w:szCs w:val="24"/>
        </w:rPr>
        <w:t>” National Family Planning</w:t>
      </w:r>
      <w:r>
        <w:rPr>
          <w:b w:val="0"/>
          <w:bCs w:val="0"/>
          <w:sz w:val="24"/>
          <w:szCs w:val="24"/>
        </w:rPr>
        <w:t>.</w:t>
      </w:r>
      <w:r w:rsidRPr="009A1D3B">
        <w:rPr>
          <w:b w:val="0"/>
          <w:bCs w:val="0"/>
          <w:sz w:val="24"/>
          <w:szCs w:val="24"/>
        </w:rPr>
        <w:t xml:space="preserve"> NFPRHA, 30 June 2014</w:t>
      </w:r>
      <w:r>
        <w:rPr>
          <w:b w:val="0"/>
          <w:bCs w:val="0"/>
          <w:sz w:val="24"/>
          <w:szCs w:val="24"/>
        </w:rPr>
        <w:t xml:space="preserve">. </w:t>
      </w:r>
      <w:r w:rsidRPr="009A1D3B">
        <w:rPr>
          <w:b w:val="0"/>
          <w:bCs w:val="0"/>
          <w:sz w:val="24"/>
          <w:szCs w:val="24"/>
        </w:rPr>
        <w:t>https://www.nationalfamilyplanning.org/file/Statement-by-Clare-Coleman-on-SCOTUS-Hobby-Lobby-Decision_FINAL.pdf.</w:t>
      </w:r>
    </w:p>
    <w:p w14:paraId="3CD4A849" w14:textId="6AEF684A" w:rsidR="008D6206" w:rsidRDefault="008D6206" w:rsidP="00790DFB">
      <w:pPr>
        <w:pStyle w:val="Heading1"/>
        <w:spacing w:line="480" w:lineRule="auto"/>
        <w:ind w:left="720" w:hanging="720"/>
        <w:rPr>
          <w:b w:val="0"/>
          <w:bCs w:val="0"/>
          <w:sz w:val="24"/>
          <w:szCs w:val="24"/>
        </w:rPr>
      </w:pPr>
      <w:r w:rsidRPr="00365351">
        <w:rPr>
          <w:b w:val="0"/>
          <w:bCs w:val="0"/>
          <w:sz w:val="24"/>
          <w:szCs w:val="24"/>
        </w:rPr>
        <w:lastRenderedPageBreak/>
        <w:t>Napili, Angela. “</w:t>
      </w:r>
      <w:r w:rsidRPr="00365351">
        <w:rPr>
          <w:rFonts w:eastAsiaTheme="minorHAnsi"/>
          <w:b w:val="0"/>
          <w:bCs w:val="0"/>
          <w:kern w:val="0"/>
          <w:sz w:val="24"/>
          <w:szCs w:val="24"/>
        </w:rPr>
        <w:t>Family Planning Program Under Title X of the Public Health Service Act</w:t>
      </w:r>
      <w:r w:rsidRPr="00365351">
        <w:rPr>
          <w:b w:val="0"/>
          <w:bCs w:val="0"/>
          <w:sz w:val="24"/>
          <w:szCs w:val="24"/>
        </w:rPr>
        <w:t xml:space="preserve">.” EveryCRSRReport.com, 27 April 2018. </w:t>
      </w:r>
      <w:r w:rsidR="00BC50F3" w:rsidRPr="00BC50F3">
        <w:rPr>
          <w:b w:val="0"/>
          <w:bCs w:val="0"/>
          <w:sz w:val="24"/>
          <w:szCs w:val="24"/>
        </w:rPr>
        <w:t>https://www.everycrsreport.com/reports/R45181.html</w:t>
      </w:r>
      <w:r w:rsidRPr="00365351">
        <w:rPr>
          <w:b w:val="0"/>
          <w:bCs w:val="0"/>
          <w:sz w:val="24"/>
          <w:szCs w:val="24"/>
        </w:rPr>
        <w:t>.</w:t>
      </w:r>
    </w:p>
    <w:p w14:paraId="49AE375F" w14:textId="71AAD10D" w:rsidR="00BC50F3" w:rsidRDefault="00BC50F3" w:rsidP="00790DFB">
      <w:pPr>
        <w:pStyle w:val="Heading1"/>
        <w:spacing w:line="480" w:lineRule="auto"/>
        <w:ind w:left="720" w:hanging="720"/>
        <w:rPr>
          <w:b w:val="0"/>
          <w:bCs w:val="0"/>
          <w:color w:val="202A43"/>
          <w:sz w:val="24"/>
          <w:szCs w:val="24"/>
        </w:rPr>
      </w:pPr>
      <w:r w:rsidRPr="00BC50F3">
        <w:rPr>
          <w:b w:val="0"/>
          <w:bCs w:val="0"/>
          <w:color w:val="202A43"/>
          <w:sz w:val="24"/>
          <w:szCs w:val="24"/>
        </w:rPr>
        <w:t>“Zubik v. Burwell</w:t>
      </w:r>
      <w:r>
        <w:rPr>
          <w:b w:val="0"/>
          <w:bCs w:val="0"/>
          <w:color w:val="202A43"/>
          <w:sz w:val="24"/>
          <w:szCs w:val="24"/>
        </w:rPr>
        <w:t>.</w:t>
      </w:r>
      <w:r w:rsidRPr="00BC50F3">
        <w:rPr>
          <w:b w:val="0"/>
          <w:bCs w:val="0"/>
          <w:color w:val="202A43"/>
          <w:sz w:val="24"/>
          <w:szCs w:val="24"/>
        </w:rPr>
        <w:t>” Oyez</w:t>
      </w:r>
      <w:r>
        <w:rPr>
          <w:b w:val="0"/>
          <w:bCs w:val="0"/>
          <w:color w:val="202A43"/>
          <w:sz w:val="24"/>
          <w:szCs w:val="24"/>
        </w:rPr>
        <w:t>,</w:t>
      </w:r>
      <w:r w:rsidRPr="00BC50F3">
        <w:rPr>
          <w:b w:val="0"/>
          <w:bCs w:val="0"/>
          <w:color w:val="202A43"/>
          <w:sz w:val="24"/>
          <w:szCs w:val="24"/>
        </w:rPr>
        <w:t xml:space="preserve"> Accessed 13 April 2021</w:t>
      </w:r>
      <w:r>
        <w:rPr>
          <w:b w:val="0"/>
          <w:bCs w:val="0"/>
          <w:color w:val="202A43"/>
          <w:sz w:val="24"/>
          <w:szCs w:val="24"/>
        </w:rPr>
        <w:t>.</w:t>
      </w:r>
      <w:r w:rsidRPr="00BC50F3">
        <w:rPr>
          <w:b w:val="0"/>
          <w:bCs w:val="0"/>
          <w:color w:val="202A43"/>
          <w:sz w:val="24"/>
          <w:szCs w:val="24"/>
        </w:rPr>
        <w:t xml:space="preserve"> </w:t>
      </w:r>
      <w:r w:rsidR="00920847" w:rsidRPr="00920847">
        <w:rPr>
          <w:b w:val="0"/>
          <w:bCs w:val="0"/>
          <w:color w:val="202A43"/>
          <w:sz w:val="24"/>
          <w:szCs w:val="24"/>
        </w:rPr>
        <w:t>https://www.oyez.org/cases/2015/14-1418</w:t>
      </w:r>
      <w:r w:rsidRPr="00BC50F3">
        <w:rPr>
          <w:b w:val="0"/>
          <w:bCs w:val="0"/>
          <w:color w:val="202A43"/>
          <w:sz w:val="24"/>
          <w:szCs w:val="24"/>
        </w:rPr>
        <w:t>.</w:t>
      </w:r>
    </w:p>
    <w:p w14:paraId="19044FC7" w14:textId="3364C931" w:rsidR="00920847" w:rsidRPr="00365351" w:rsidRDefault="00920847" w:rsidP="00D053B6">
      <w:pPr>
        <w:pStyle w:val="Heading1"/>
        <w:spacing w:line="480" w:lineRule="auto"/>
        <w:rPr>
          <w:b w:val="0"/>
          <w:bCs w:val="0"/>
          <w:color w:val="202A43"/>
          <w:sz w:val="24"/>
          <w:szCs w:val="24"/>
        </w:rPr>
      </w:pPr>
    </w:p>
    <w:sectPr w:rsidR="00920847" w:rsidRPr="00365351" w:rsidSect="00CB2CBF">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20BD" w14:textId="77777777" w:rsidR="00596202" w:rsidRDefault="00596202" w:rsidP="001E1444">
      <w:r>
        <w:separator/>
      </w:r>
    </w:p>
  </w:endnote>
  <w:endnote w:type="continuationSeparator" w:id="0">
    <w:p w14:paraId="438EE24F" w14:textId="77777777" w:rsidR="00596202" w:rsidRDefault="00596202" w:rsidP="001E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9357049"/>
      <w:docPartObj>
        <w:docPartGallery w:val="Page Numbers (Bottom of Page)"/>
        <w:docPartUnique/>
      </w:docPartObj>
    </w:sdtPr>
    <w:sdtEndPr>
      <w:rPr>
        <w:rStyle w:val="PageNumber"/>
      </w:rPr>
    </w:sdtEndPr>
    <w:sdtContent>
      <w:p w14:paraId="4C4DF39F" w14:textId="2A669923" w:rsidR="00981268" w:rsidRDefault="00981268" w:rsidP="00F974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9FA23" w14:textId="77777777" w:rsidR="00981268" w:rsidRDefault="00981268" w:rsidP="00981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CB8" w14:textId="77777777" w:rsidR="00981268" w:rsidRDefault="00981268" w:rsidP="009812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FF7CB" w14:textId="77777777" w:rsidR="00596202" w:rsidRDefault="00596202" w:rsidP="001E1444">
      <w:r>
        <w:separator/>
      </w:r>
    </w:p>
  </w:footnote>
  <w:footnote w:type="continuationSeparator" w:id="0">
    <w:p w14:paraId="4839D4F5" w14:textId="77777777" w:rsidR="00596202" w:rsidRDefault="00596202" w:rsidP="001E1444">
      <w:r>
        <w:continuationSeparator/>
      </w:r>
    </w:p>
  </w:footnote>
  <w:footnote w:id="1">
    <w:p w14:paraId="6B5A6C66" w14:textId="5AFBB0AA" w:rsidR="001E1444" w:rsidRPr="007D2E3C" w:rsidRDefault="001E1444" w:rsidP="001E1444">
      <w:pPr>
        <w:pStyle w:val="NormalWeb"/>
        <w:spacing w:before="0" w:beforeAutospacing="0" w:after="0" w:afterAutospacing="0"/>
      </w:pPr>
      <w:r w:rsidRPr="007D2E3C">
        <w:rPr>
          <w:rStyle w:val="FootnoteReference"/>
        </w:rPr>
        <w:footnoteRef/>
      </w:r>
      <w:r w:rsidRPr="007D2E3C">
        <w:t xml:space="preserve"> </w:t>
      </w:r>
      <w:r w:rsidRPr="007D2E3C">
        <w:rPr>
          <w:color w:val="000000"/>
          <w:sz w:val="20"/>
          <w:szCs w:val="20"/>
        </w:rPr>
        <w:t> </w:t>
      </w:r>
      <w:r w:rsidR="00496356" w:rsidRPr="007D2E3C">
        <w:rPr>
          <w:color w:val="000000"/>
          <w:sz w:val="20"/>
          <w:szCs w:val="20"/>
        </w:rPr>
        <w:t xml:space="preserve">“About: National Family Planning </w:t>
      </w:r>
      <w:r w:rsidR="007D2E3C" w:rsidRPr="007D2E3C">
        <w:rPr>
          <w:color w:val="000000"/>
          <w:sz w:val="20"/>
          <w:szCs w:val="20"/>
        </w:rPr>
        <w:t xml:space="preserve">&amp; Reproductive Health Association,” </w:t>
      </w:r>
      <w:r w:rsidR="006C4757">
        <w:rPr>
          <w:color w:val="000000"/>
          <w:sz w:val="20"/>
          <w:szCs w:val="20"/>
        </w:rPr>
        <w:t>National Family Planning &amp; Reproductive Health Association</w:t>
      </w:r>
      <w:r w:rsidR="007D2E3C" w:rsidRPr="007D2E3C">
        <w:rPr>
          <w:color w:val="000000"/>
          <w:sz w:val="20"/>
          <w:szCs w:val="20"/>
        </w:rPr>
        <w:t xml:space="preserve">, </w:t>
      </w:r>
      <w:r w:rsidR="00E44C55" w:rsidRPr="00E44C55">
        <w:rPr>
          <w:color w:val="000000"/>
          <w:sz w:val="20"/>
          <w:szCs w:val="20"/>
        </w:rPr>
        <w:t>https://www.nationalfamilyplanning.org/file/About-NFPRHA-08212018.pdf</w:t>
      </w:r>
      <w:r w:rsidR="007D2E3C" w:rsidRPr="007D2E3C">
        <w:rPr>
          <w:color w:val="000000"/>
          <w:sz w:val="20"/>
          <w:szCs w:val="20"/>
        </w:rPr>
        <w:t>.</w:t>
      </w:r>
      <w:r w:rsidR="00E44C55">
        <w:rPr>
          <w:color w:val="000000"/>
          <w:sz w:val="20"/>
          <w:szCs w:val="20"/>
        </w:rPr>
        <w:t xml:space="preserve">, 1. </w:t>
      </w:r>
      <w:r w:rsidR="007D2E3C" w:rsidRPr="007D2E3C">
        <w:rPr>
          <w:color w:val="000000"/>
          <w:sz w:val="20"/>
          <w:szCs w:val="20"/>
        </w:rPr>
        <w:t xml:space="preserve"> </w:t>
      </w:r>
    </w:p>
  </w:footnote>
  <w:footnote w:id="2">
    <w:p w14:paraId="65E91F07" w14:textId="6178E186" w:rsidR="00D33624" w:rsidRPr="00174E29" w:rsidRDefault="00D33624" w:rsidP="00D33624">
      <w:pPr>
        <w:pStyle w:val="NormalWeb"/>
        <w:spacing w:before="0" w:beforeAutospacing="0" w:after="0" w:afterAutospacing="0"/>
      </w:pPr>
      <w:r w:rsidRPr="00174E29">
        <w:rPr>
          <w:rStyle w:val="FootnoteReference"/>
        </w:rPr>
        <w:footnoteRef/>
      </w:r>
      <w:r w:rsidRPr="00174E29">
        <w:t xml:space="preserve"> </w:t>
      </w:r>
      <w:r w:rsidRPr="00174E29">
        <w:rPr>
          <w:color w:val="000000"/>
          <w:sz w:val="20"/>
          <w:szCs w:val="20"/>
        </w:rPr>
        <w:t> </w:t>
      </w:r>
      <w:r w:rsidR="006213EF" w:rsidRPr="00174E29">
        <w:rPr>
          <w:color w:val="000000"/>
          <w:sz w:val="20"/>
          <w:szCs w:val="20"/>
        </w:rPr>
        <w:t xml:space="preserve">“About: Mission Statement,” National Family Planning, </w:t>
      </w:r>
      <w:r w:rsidR="00174E29" w:rsidRPr="00174E29">
        <w:rPr>
          <w:color w:val="000000"/>
          <w:sz w:val="20"/>
          <w:szCs w:val="20"/>
        </w:rPr>
        <w:t xml:space="preserve">National Family Planning &amp; Reproductive Health Association, accessed 10 April 2021, https://www.nationalfamilyplanning.org/page.aspx?pid=422. </w:t>
      </w:r>
    </w:p>
  </w:footnote>
  <w:footnote w:id="3">
    <w:p w14:paraId="148D2262" w14:textId="4339A1E5" w:rsidR="00D33624" w:rsidRPr="00D85723" w:rsidRDefault="00D33624" w:rsidP="00D33624">
      <w:pPr>
        <w:pStyle w:val="NormalWeb"/>
        <w:spacing w:before="0" w:beforeAutospacing="0" w:after="0" w:afterAutospacing="0"/>
      </w:pPr>
      <w:r w:rsidRPr="00D85723">
        <w:rPr>
          <w:rStyle w:val="FootnoteReference"/>
        </w:rPr>
        <w:footnoteRef/>
      </w:r>
      <w:r w:rsidRPr="00D85723">
        <w:t xml:space="preserve"> </w:t>
      </w:r>
      <w:r w:rsidRPr="00D85723">
        <w:rPr>
          <w:color w:val="000000"/>
          <w:sz w:val="20"/>
          <w:szCs w:val="20"/>
        </w:rPr>
        <w:t> </w:t>
      </w:r>
      <w:r w:rsidR="005B320A" w:rsidRPr="00D85723">
        <w:rPr>
          <w:color w:val="000000"/>
          <w:sz w:val="20"/>
          <w:szCs w:val="20"/>
        </w:rPr>
        <w:t xml:space="preserve">“About: Meet </w:t>
      </w:r>
      <w:r w:rsidR="00D85723" w:rsidRPr="00D85723">
        <w:rPr>
          <w:color w:val="000000"/>
          <w:sz w:val="20"/>
          <w:szCs w:val="20"/>
        </w:rPr>
        <w:t>NFPRHA’s Members,” National Family Planning, National Family Planning &amp; Reproductive Health Association, accessed 10 April 2021, https://www.nationalfamilyplanning.org/page.aspx?pid=434.</w:t>
      </w:r>
    </w:p>
  </w:footnote>
  <w:footnote w:id="4">
    <w:p w14:paraId="1790212F" w14:textId="4ADD2E0F" w:rsidR="000971A1" w:rsidRPr="00D33624" w:rsidRDefault="000971A1" w:rsidP="000971A1">
      <w:pPr>
        <w:rPr>
          <w:rFonts w:ascii="Times New Roman" w:eastAsia="Times New Roman" w:hAnsi="Times New Roman" w:cs="Times New Roman"/>
        </w:rPr>
      </w:pPr>
      <w:r>
        <w:rPr>
          <w:rStyle w:val="FootnoteReference"/>
        </w:rPr>
        <w:footnoteRef/>
      </w:r>
      <w:r>
        <w:t xml:space="preserve"> </w:t>
      </w:r>
      <w:r w:rsidR="009556F6" w:rsidRPr="00D85723">
        <w:rPr>
          <w:rFonts w:ascii="Times New Roman" w:hAnsi="Times New Roman" w:cs="Times New Roman"/>
          <w:color w:val="000000"/>
          <w:sz w:val="20"/>
          <w:szCs w:val="20"/>
        </w:rPr>
        <w:t xml:space="preserve">“About: </w:t>
      </w:r>
      <w:r w:rsidR="009556F6">
        <w:rPr>
          <w:rFonts w:ascii="Times New Roman" w:hAnsi="Times New Roman" w:cs="Times New Roman"/>
          <w:color w:val="000000"/>
          <w:sz w:val="20"/>
          <w:szCs w:val="20"/>
        </w:rPr>
        <w:t>Staff</w:t>
      </w:r>
      <w:r w:rsidR="009556F6" w:rsidRPr="00D85723">
        <w:rPr>
          <w:rFonts w:ascii="Times New Roman" w:hAnsi="Times New Roman" w:cs="Times New Roman"/>
          <w:color w:val="000000"/>
          <w:sz w:val="20"/>
          <w:szCs w:val="20"/>
        </w:rPr>
        <w:t xml:space="preserve">,” National Family Planning, National Family Planning &amp; Reproductive Health Association, accessed 10 April 2021, </w:t>
      </w:r>
      <w:r w:rsidR="009556F6" w:rsidRPr="009556F6">
        <w:rPr>
          <w:rFonts w:ascii="Times New Roman" w:hAnsi="Times New Roman" w:cs="Times New Roman"/>
          <w:color w:val="000000"/>
          <w:sz w:val="20"/>
          <w:szCs w:val="20"/>
        </w:rPr>
        <w:t>https://www.nationalfamilyplanning.org/page.aspx?pid=426</w:t>
      </w:r>
      <w:r w:rsidR="009556F6">
        <w:rPr>
          <w:rFonts w:ascii="Times New Roman" w:hAnsi="Times New Roman" w:cs="Times New Roman"/>
          <w:color w:val="000000"/>
          <w:sz w:val="20"/>
          <w:szCs w:val="20"/>
        </w:rPr>
        <w:t xml:space="preserve">. </w:t>
      </w:r>
    </w:p>
  </w:footnote>
  <w:footnote w:id="5">
    <w:p w14:paraId="033B23BE" w14:textId="7448C8E9" w:rsidR="0025321F" w:rsidRDefault="0025321F">
      <w:pPr>
        <w:pStyle w:val="FootnoteText"/>
      </w:pPr>
      <w:r>
        <w:rPr>
          <w:rStyle w:val="FootnoteReference"/>
        </w:rPr>
        <w:footnoteRef/>
      </w:r>
      <w:r>
        <w:t xml:space="preserve"> </w:t>
      </w:r>
      <w:r w:rsidRPr="00D21667">
        <w:rPr>
          <w:rFonts w:ascii="Times New Roman" w:hAnsi="Times New Roman" w:cs="Times New Roman"/>
        </w:rPr>
        <w:t xml:space="preserve">“Breakthrough/Breakdown: A Historic Year in Federal Policy,” National Family Planning &amp; Reproductive Health Association, 2010, </w:t>
      </w:r>
      <w:r w:rsidRPr="0025321F">
        <w:rPr>
          <w:rFonts w:ascii="Times New Roman" w:hAnsi="Times New Roman" w:cs="Times New Roman"/>
        </w:rPr>
        <w:t>https://www.nationalfamilyplanning.org/document.doc?id=181</w:t>
      </w:r>
      <w:r>
        <w:rPr>
          <w:rFonts w:ascii="Times New Roman" w:hAnsi="Times New Roman" w:cs="Times New Roman"/>
        </w:rPr>
        <w:t xml:space="preserve">, 9. </w:t>
      </w:r>
    </w:p>
  </w:footnote>
  <w:footnote w:id="6">
    <w:p w14:paraId="53804FA3" w14:textId="470F4765" w:rsidR="001E35CB" w:rsidRPr="00D21667" w:rsidRDefault="001E35CB">
      <w:pPr>
        <w:pStyle w:val="FootnoteText"/>
        <w:rPr>
          <w:rFonts w:ascii="Times New Roman" w:hAnsi="Times New Roman" w:cs="Times New Roman"/>
        </w:rPr>
      </w:pPr>
      <w:r>
        <w:rPr>
          <w:rStyle w:val="FootnoteReference"/>
        </w:rPr>
        <w:footnoteRef/>
      </w:r>
      <w:r>
        <w:t xml:space="preserve"> </w:t>
      </w:r>
      <w:r w:rsidR="00D21667" w:rsidRPr="00D21667">
        <w:rPr>
          <w:rFonts w:ascii="Times New Roman" w:hAnsi="Times New Roman" w:cs="Times New Roman"/>
        </w:rPr>
        <w:t>“Breakthrough/Breakdown</w:t>
      </w:r>
      <w:r w:rsidR="00401053">
        <w:rPr>
          <w:rFonts w:ascii="Times New Roman" w:hAnsi="Times New Roman" w:cs="Times New Roman"/>
        </w:rPr>
        <w:t>,</w:t>
      </w:r>
      <w:r w:rsidR="00D21667" w:rsidRPr="00D21667">
        <w:rPr>
          <w:rFonts w:ascii="Times New Roman" w:hAnsi="Times New Roman" w:cs="Times New Roman"/>
        </w:rPr>
        <w:t>”</w:t>
      </w:r>
      <w:r w:rsidR="00401053">
        <w:rPr>
          <w:rFonts w:ascii="Times New Roman" w:hAnsi="Times New Roman" w:cs="Times New Roman"/>
        </w:rPr>
        <w:t xml:space="preserve"> 21. </w:t>
      </w:r>
    </w:p>
  </w:footnote>
  <w:footnote w:id="7">
    <w:p w14:paraId="53B9C5B5" w14:textId="53ED8D5D" w:rsidR="00F21854" w:rsidRDefault="00F21854">
      <w:pPr>
        <w:pStyle w:val="FootnoteText"/>
      </w:pPr>
      <w:r>
        <w:rPr>
          <w:rStyle w:val="FootnoteReference"/>
        </w:rPr>
        <w:footnoteRef/>
      </w:r>
      <w:r>
        <w:t xml:space="preserve"> </w:t>
      </w:r>
      <w:r w:rsidR="00E44C55" w:rsidRPr="000B3500">
        <w:rPr>
          <w:rFonts w:ascii="Times New Roman" w:hAnsi="Times New Roman" w:cs="Times New Roman"/>
        </w:rPr>
        <w:t>“Break</w:t>
      </w:r>
      <w:r w:rsidR="007C2AD5" w:rsidRPr="000B3500">
        <w:rPr>
          <w:rFonts w:ascii="Times New Roman" w:hAnsi="Times New Roman" w:cs="Times New Roman"/>
        </w:rPr>
        <w:t xml:space="preserve">through/Breakdown,” </w:t>
      </w:r>
      <w:r w:rsidR="009B1D50" w:rsidRPr="000B3500">
        <w:rPr>
          <w:rFonts w:ascii="Times New Roman" w:hAnsi="Times New Roman" w:cs="Times New Roman"/>
        </w:rPr>
        <w:t>21.</w:t>
      </w:r>
      <w:r w:rsidR="009B1D50">
        <w:t xml:space="preserve"> </w:t>
      </w:r>
    </w:p>
  </w:footnote>
  <w:footnote w:id="8">
    <w:p w14:paraId="76EF734F" w14:textId="4EEE5315" w:rsidR="00D660A2" w:rsidRDefault="00D660A2">
      <w:pPr>
        <w:pStyle w:val="FootnoteText"/>
      </w:pPr>
      <w:r>
        <w:rPr>
          <w:rStyle w:val="FootnoteReference"/>
        </w:rPr>
        <w:footnoteRef/>
      </w:r>
      <w:r>
        <w:t xml:space="preserve"> </w:t>
      </w:r>
      <w:r w:rsidR="00481E56" w:rsidRPr="000B3500">
        <w:rPr>
          <w:rFonts w:ascii="Times New Roman" w:hAnsi="Times New Roman" w:cs="Times New Roman"/>
        </w:rPr>
        <w:t>“Breakthrough/Breakdown,” 9.</w:t>
      </w:r>
      <w:r w:rsidR="00481E56">
        <w:t xml:space="preserve"> </w:t>
      </w:r>
    </w:p>
  </w:footnote>
  <w:footnote w:id="9">
    <w:p w14:paraId="451172E0" w14:textId="77EE6208" w:rsidR="006B28C4" w:rsidRPr="004F4865" w:rsidRDefault="006B28C4">
      <w:pPr>
        <w:pStyle w:val="FootnoteText"/>
        <w:rPr>
          <w:rFonts w:ascii="Times New Roman" w:hAnsi="Times New Roman" w:cs="Times New Roman"/>
        </w:rPr>
      </w:pPr>
      <w:r>
        <w:rPr>
          <w:rStyle w:val="FootnoteReference"/>
        </w:rPr>
        <w:footnoteRef/>
      </w:r>
      <w:r>
        <w:t xml:space="preserve"> </w:t>
      </w:r>
      <w:r w:rsidR="004F4865" w:rsidRPr="004F4865">
        <w:rPr>
          <w:rFonts w:ascii="Times New Roman" w:hAnsi="Times New Roman" w:cs="Times New Roman"/>
        </w:rPr>
        <w:t xml:space="preserve">Coleman, Clare, “Comments on OCIIO‐992‐IFC, Interim Final Rules for Group Health Plans and Health Insurance Issuers Relating to Coverage of Preventive Services under the Patient Protection and Affordable Care Act,” NFPRHA, The Voice of Family Planning, 17 September 2010, </w:t>
      </w:r>
      <w:r w:rsidR="00092274" w:rsidRPr="00092274">
        <w:rPr>
          <w:rFonts w:ascii="Times New Roman" w:hAnsi="Times New Roman" w:cs="Times New Roman"/>
        </w:rPr>
        <w:t>https://www.dol.gov/sites/dolgov/files/EBSA/laws-and-regulations/rules-and-regulations/public-comments/1210-AB44/00191.pdf</w:t>
      </w:r>
      <w:r w:rsidR="00092274">
        <w:rPr>
          <w:rFonts w:ascii="Times New Roman" w:hAnsi="Times New Roman" w:cs="Times New Roman"/>
        </w:rPr>
        <w:t xml:space="preserve">, 1. </w:t>
      </w:r>
    </w:p>
  </w:footnote>
  <w:footnote w:id="10">
    <w:p w14:paraId="7DA84E26" w14:textId="0A6B31CC" w:rsidR="007E05E5" w:rsidRDefault="007E05E5">
      <w:pPr>
        <w:pStyle w:val="FootnoteText"/>
      </w:pPr>
      <w:r>
        <w:rPr>
          <w:rStyle w:val="FootnoteReference"/>
        </w:rPr>
        <w:footnoteRef/>
      </w:r>
      <w:r>
        <w:t xml:space="preserve"> </w:t>
      </w:r>
      <w:r w:rsidR="00804FE8" w:rsidRPr="00804FE8">
        <w:rPr>
          <w:rFonts w:ascii="Times New Roman" w:hAnsi="Times New Roman" w:cs="Times New Roman"/>
        </w:rPr>
        <w:t>“Breakthrough/Breakdown,” 9.</w:t>
      </w:r>
      <w:r w:rsidR="00804FE8">
        <w:t xml:space="preserve"> </w:t>
      </w:r>
    </w:p>
  </w:footnote>
  <w:footnote w:id="11">
    <w:p w14:paraId="1D613AEC" w14:textId="5C49D396" w:rsidR="00D660A2" w:rsidRDefault="00D660A2">
      <w:pPr>
        <w:pStyle w:val="FootnoteText"/>
      </w:pPr>
      <w:r>
        <w:rPr>
          <w:rStyle w:val="FootnoteReference"/>
        </w:rPr>
        <w:footnoteRef/>
      </w:r>
      <w:r>
        <w:t xml:space="preserve"> </w:t>
      </w:r>
      <w:r w:rsidR="00092274" w:rsidRPr="00804FE8">
        <w:rPr>
          <w:rFonts w:ascii="Times New Roman" w:hAnsi="Times New Roman" w:cs="Times New Roman"/>
        </w:rPr>
        <w:t>“Breakthrough/Breakdown,” 9.</w:t>
      </w:r>
    </w:p>
  </w:footnote>
  <w:footnote w:id="12">
    <w:p w14:paraId="6B8881E5" w14:textId="02F4AE4B" w:rsidR="001311E9" w:rsidRDefault="001311E9">
      <w:pPr>
        <w:pStyle w:val="FootnoteText"/>
      </w:pPr>
      <w:r>
        <w:rPr>
          <w:rStyle w:val="FootnoteReference"/>
        </w:rPr>
        <w:footnoteRef/>
      </w:r>
      <w:r>
        <w:t xml:space="preserve"> </w:t>
      </w:r>
      <w:r w:rsidR="00092274" w:rsidRPr="00804FE8">
        <w:rPr>
          <w:rFonts w:ascii="Times New Roman" w:hAnsi="Times New Roman" w:cs="Times New Roman"/>
        </w:rPr>
        <w:t>“Breakthrough/Breakdown,” 9.</w:t>
      </w:r>
    </w:p>
  </w:footnote>
  <w:footnote w:id="13">
    <w:p w14:paraId="1BEEBC6D" w14:textId="50BCB21A" w:rsidR="006679FD" w:rsidRDefault="006679FD">
      <w:pPr>
        <w:pStyle w:val="FootnoteText"/>
      </w:pPr>
      <w:r>
        <w:rPr>
          <w:rStyle w:val="FootnoteReference"/>
        </w:rPr>
        <w:footnoteRef/>
      </w:r>
      <w:r>
        <w:t xml:space="preserve"> </w:t>
      </w:r>
      <w:r w:rsidR="001D2816">
        <w:rPr>
          <w:rFonts w:ascii="Times New Roman" w:hAnsi="Times New Roman" w:cs="Times New Roman"/>
        </w:rPr>
        <w:t>Coleman 2010 “Comments on OCIIO”</w:t>
      </w:r>
      <w:r w:rsidR="00092274" w:rsidRPr="00092274">
        <w:rPr>
          <w:rFonts w:ascii="Times New Roman" w:hAnsi="Times New Roman" w:cs="Times New Roman"/>
        </w:rPr>
        <w:t>, 1.</w:t>
      </w:r>
      <w:r w:rsidR="00092274">
        <w:t xml:space="preserve"> </w:t>
      </w:r>
    </w:p>
  </w:footnote>
  <w:footnote w:id="14">
    <w:p w14:paraId="7C299C87" w14:textId="0B521E62" w:rsidR="0004709E" w:rsidRDefault="0004709E">
      <w:pPr>
        <w:pStyle w:val="FootnoteText"/>
      </w:pPr>
      <w:r>
        <w:rPr>
          <w:rStyle w:val="FootnoteReference"/>
        </w:rPr>
        <w:footnoteRef/>
      </w:r>
      <w:r>
        <w:t xml:space="preserve"> </w:t>
      </w:r>
      <w:r w:rsidR="00EE0741" w:rsidRPr="00EE0741">
        <w:rPr>
          <w:rFonts w:ascii="Times New Roman" w:hAnsi="Times New Roman" w:cs="Times New Roman"/>
        </w:rPr>
        <w:t>“Breakthrough/Breakdown,” 10.</w:t>
      </w:r>
      <w:r w:rsidR="00EE0741">
        <w:t xml:space="preserve"> </w:t>
      </w:r>
    </w:p>
  </w:footnote>
  <w:footnote w:id="15">
    <w:p w14:paraId="66E25A1B" w14:textId="63E2D888" w:rsidR="00AD1695" w:rsidRDefault="00AD1695">
      <w:pPr>
        <w:pStyle w:val="FootnoteText"/>
      </w:pPr>
      <w:r>
        <w:rPr>
          <w:rStyle w:val="FootnoteReference"/>
        </w:rPr>
        <w:footnoteRef/>
      </w:r>
      <w:r>
        <w:t xml:space="preserve"> </w:t>
      </w:r>
      <w:r w:rsidR="00663B67" w:rsidRPr="00B301D7">
        <w:rPr>
          <w:rFonts w:ascii="Times New Roman" w:hAnsi="Times New Roman" w:cs="Times New Roman"/>
        </w:rPr>
        <w:t>Helsing, Karen, “Clinical Preventive Services for Women</w:t>
      </w:r>
      <w:r w:rsidR="00B301D7" w:rsidRPr="00B301D7">
        <w:rPr>
          <w:rFonts w:ascii="Times New Roman" w:hAnsi="Times New Roman" w:cs="Times New Roman"/>
        </w:rPr>
        <w:t>: Closing the Gaps,” Institute of Medicine, The National Academy of Sciences, July 2011, https://www.nap.edu/resource/13181/reportbrief.pdf, 3.</w:t>
      </w:r>
      <w:r w:rsidR="00B301D7">
        <w:t xml:space="preserve"> </w:t>
      </w:r>
    </w:p>
  </w:footnote>
  <w:footnote w:id="16">
    <w:p w14:paraId="7B09789F" w14:textId="754AF32C" w:rsidR="00B66165" w:rsidRDefault="00B66165">
      <w:pPr>
        <w:pStyle w:val="FootnoteText"/>
      </w:pPr>
      <w:r>
        <w:rPr>
          <w:rStyle w:val="FootnoteReference"/>
        </w:rPr>
        <w:footnoteRef/>
      </w:r>
      <w:r>
        <w:t xml:space="preserve"> </w:t>
      </w:r>
      <w:r w:rsidR="00035482" w:rsidRPr="00035482">
        <w:rPr>
          <w:rFonts w:ascii="Times New Roman" w:hAnsi="Times New Roman" w:cs="Times New Roman"/>
        </w:rPr>
        <w:t>Helsing, 2.</w:t>
      </w:r>
      <w:r w:rsidR="00035482">
        <w:t xml:space="preserve"> </w:t>
      </w:r>
    </w:p>
  </w:footnote>
  <w:footnote w:id="17">
    <w:p w14:paraId="554E3513" w14:textId="696F4A9A" w:rsidR="002D4446" w:rsidRDefault="002D4446">
      <w:pPr>
        <w:pStyle w:val="FootnoteText"/>
      </w:pPr>
      <w:r>
        <w:rPr>
          <w:rStyle w:val="FootnoteReference"/>
        </w:rPr>
        <w:footnoteRef/>
      </w:r>
      <w:r>
        <w:t xml:space="preserve"> </w:t>
      </w:r>
      <w:r w:rsidR="00265445" w:rsidRPr="00265445">
        <w:rPr>
          <w:rFonts w:ascii="Times New Roman" w:hAnsi="Times New Roman" w:cs="Times New Roman"/>
        </w:rPr>
        <w:t>“History and Timeline of the Affordable Care Act (ACA),” eHealth, eHealthInsurance Services, Inc., 24 October 2020, https://www.ehealthinsurance.com/resources/affordable-care-act/history-timeline-affordable-care-act-aca.</w:t>
      </w:r>
      <w:r w:rsidR="00265445">
        <w:t xml:space="preserve"> </w:t>
      </w:r>
    </w:p>
  </w:footnote>
  <w:footnote w:id="18">
    <w:p w14:paraId="712EAD2F" w14:textId="483AC791" w:rsidR="00240C2E" w:rsidRDefault="00240C2E">
      <w:pPr>
        <w:pStyle w:val="FootnoteText"/>
      </w:pPr>
      <w:r>
        <w:rPr>
          <w:rStyle w:val="FootnoteReference"/>
        </w:rPr>
        <w:footnoteRef/>
      </w:r>
      <w:r>
        <w:t xml:space="preserve"> </w:t>
      </w:r>
      <w:r w:rsidR="001D2816" w:rsidRPr="001D2816">
        <w:rPr>
          <w:rFonts w:ascii="Times New Roman" w:hAnsi="Times New Roman" w:cs="Times New Roman"/>
        </w:rPr>
        <w:t xml:space="preserve">Coleman, Clare, “Appropriations Request Letter,” NFPRHA, National Family Planning and Reproductive Health Association, 31 March 2010, </w:t>
      </w:r>
      <w:r w:rsidR="00E47C64" w:rsidRPr="00E47C64">
        <w:rPr>
          <w:rFonts w:ascii="Times New Roman" w:hAnsi="Times New Roman" w:cs="Times New Roman"/>
        </w:rPr>
        <w:t>https://www.nationalfamilyplanning.org/document.doc?id=408</w:t>
      </w:r>
      <w:r w:rsidR="00E47C64">
        <w:rPr>
          <w:rFonts w:ascii="Times New Roman" w:hAnsi="Times New Roman" w:cs="Times New Roman"/>
        </w:rPr>
        <w:t>, 1</w:t>
      </w:r>
      <w:r w:rsidR="001D2816" w:rsidRPr="001D2816">
        <w:rPr>
          <w:rFonts w:ascii="Times New Roman" w:hAnsi="Times New Roman" w:cs="Times New Roman"/>
        </w:rPr>
        <w:t xml:space="preserve">. </w:t>
      </w:r>
    </w:p>
  </w:footnote>
  <w:footnote w:id="19">
    <w:p w14:paraId="31439EEB" w14:textId="0C308DC7" w:rsidR="00ED0A5C" w:rsidRDefault="00ED0A5C">
      <w:pPr>
        <w:pStyle w:val="FootnoteText"/>
      </w:pPr>
      <w:r>
        <w:rPr>
          <w:rStyle w:val="FootnoteReference"/>
        </w:rPr>
        <w:footnoteRef/>
      </w:r>
      <w:r>
        <w:t xml:space="preserve"> </w:t>
      </w:r>
      <w:r w:rsidR="00E47C64" w:rsidRPr="00E47C64">
        <w:rPr>
          <w:rFonts w:ascii="Times New Roman" w:hAnsi="Times New Roman" w:cs="Times New Roman"/>
          <w:color w:val="000000"/>
        </w:rPr>
        <w:t>“Issues: Title X,” National Family Planning, National Family Planning &amp; Reproductive Health Association, accessed 11 April 2021, https://www.nationalfamilyplanning.org/title_x.</w:t>
      </w:r>
      <w:r w:rsidR="00E47C64">
        <w:rPr>
          <w:color w:val="000000"/>
        </w:rPr>
        <w:t xml:space="preserve"> </w:t>
      </w:r>
    </w:p>
  </w:footnote>
  <w:footnote w:id="20">
    <w:p w14:paraId="1B41EC4F" w14:textId="0616EEE0" w:rsidR="00F65262" w:rsidRPr="00E47C64" w:rsidRDefault="00F65262">
      <w:pPr>
        <w:pStyle w:val="FootnoteText"/>
        <w:rPr>
          <w:rFonts w:ascii="Times New Roman" w:hAnsi="Times New Roman" w:cs="Times New Roman"/>
        </w:rPr>
      </w:pPr>
      <w:r w:rsidRPr="00E47C64">
        <w:rPr>
          <w:rStyle w:val="FootnoteReference"/>
        </w:rPr>
        <w:footnoteRef/>
      </w:r>
      <w:r w:rsidRPr="00E47C64">
        <w:t xml:space="preserve"> </w:t>
      </w:r>
      <w:r w:rsidR="00E47C64" w:rsidRPr="00E47C64">
        <w:rPr>
          <w:rFonts w:ascii="Times New Roman" w:hAnsi="Times New Roman" w:cs="Times New Roman"/>
        </w:rPr>
        <w:t xml:space="preserve">“H.Res.1476 - Supporting and recognizing the achievements of the family planning services programs operating under title X of the Public Health Service Act,” Congress.gov, Library of Congress, 2019-2010, https://www.congress.gov/bill/111th-congress/house-resolution/1476. </w:t>
      </w:r>
    </w:p>
  </w:footnote>
  <w:footnote w:id="21">
    <w:p w14:paraId="40ED58AF" w14:textId="44DC34C5" w:rsidR="0030569E" w:rsidRDefault="0030569E">
      <w:pPr>
        <w:pStyle w:val="FootnoteText"/>
      </w:pPr>
      <w:r>
        <w:rPr>
          <w:rStyle w:val="FootnoteReference"/>
        </w:rPr>
        <w:footnoteRef/>
      </w:r>
      <w:r>
        <w:t xml:space="preserve"> </w:t>
      </w:r>
      <w:r w:rsidR="007E68CB" w:rsidRPr="00A634D9">
        <w:rPr>
          <w:rFonts w:ascii="Times New Roman" w:hAnsi="Times New Roman" w:cs="Times New Roman"/>
        </w:rPr>
        <w:t>“Breakthrough/Breakdown,” 12.</w:t>
      </w:r>
      <w:r w:rsidR="007E68CB">
        <w:t xml:space="preserve"> </w:t>
      </w:r>
    </w:p>
  </w:footnote>
  <w:footnote w:id="22">
    <w:p w14:paraId="6A3B8176" w14:textId="0F26B135" w:rsidR="0030569E" w:rsidRDefault="0030569E">
      <w:pPr>
        <w:pStyle w:val="FootnoteText"/>
      </w:pPr>
      <w:r>
        <w:rPr>
          <w:rStyle w:val="FootnoteReference"/>
        </w:rPr>
        <w:footnoteRef/>
      </w:r>
      <w:r>
        <w:t xml:space="preserve"> </w:t>
      </w:r>
      <w:r w:rsidR="00FD24D1" w:rsidRPr="00A634D9">
        <w:rPr>
          <w:rFonts w:ascii="Times New Roman" w:hAnsi="Times New Roman" w:cs="Times New Roman"/>
        </w:rPr>
        <w:t>Napili, Angela, “Family Planning Program Under Title X of the Public Health Service Act,” EveryCRSRReport.com, 27 April 2018, https://www.everycrsreport.com/reports/R45181.html.</w:t>
      </w:r>
      <w:r w:rsidR="00FD24D1">
        <w:t xml:space="preserve"> </w:t>
      </w:r>
    </w:p>
  </w:footnote>
  <w:footnote w:id="23">
    <w:p w14:paraId="7E0E72CF" w14:textId="47E205E0" w:rsidR="0030569E" w:rsidRDefault="0030569E">
      <w:pPr>
        <w:pStyle w:val="FootnoteText"/>
      </w:pPr>
      <w:r>
        <w:rPr>
          <w:rStyle w:val="FootnoteReference"/>
        </w:rPr>
        <w:footnoteRef/>
      </w:r>
      <w:r>
        <w:t xml:space="preserve"> </w:t>
      </w:r>
      <w:r w:rsidR="00A634D9" w:rsidRPr="00A634D9">
        <w:rPr>
          <w:rFonts w:ascii="Times New Roman" w:hAnsi="Times New Roman" w:cs="Times New Roman"/>
        </w:rPr>
        <w:t>“Breakthrough/Breakdown,” 12.</w:t>
      </w:r>
      <w:r w:rsidR="00A634D9">
        <w:t xml:space="preserve"> </w:t>
      </w:r>
    </w:p>
  </w:footnote>
  <w:footnote w:id="24">
    <w:p w14:paraId="3FDB838F" w14:textId="1BA039D4" w:rsidR="00162190" w:rsidRDefault="00162190">
      <w:pPr>
        <w:pStyle w:val="FootnoteText"/>
      </w:pPr>
      <w:r>
        <w:rPr>
          <w:rStyle w:val="FootnoteReference"/>
        </w:rPr>
        <w:footnoteRef/>
      </w:r>
      <w:r>
        <w:t xml:space="preserve"> </w:t>
      </w:r>
      <w:r w:rsidR="008D6206" w:rsidRPr="00E47C64">
        <w:rPr>
          <w:rFonts w:ascii="Times New Roman" w:hAnsi="Times New Roman" w:cs="Times New Roman"/>
          <w:color w:val="000000"/>
        </w:rPr>
        <w:t xml:space="preserve">“Issues: </w:t>
      </w:r>
      <w:r w:rsidR="008D6206">
        <w:rPr>
          <w:rFonts w:ascii="Times New Roman" w:hAnsi="Times New Roman" w:cs="Times New Roman"/>
          <w:color w:val="000000"/>
        </w:rPr>
        <w:t>Contraceptive</w:t>
      </w:r>
      <w:r w:rsidR="00C604C5">
        <w:rPr>
          <w:rFonts w:ascii="Times New Roman" w:hAnsi="Times New Roman" w:cs="Times New Roman"/>
          <w:color w:val="000000"/>
        </w:rPr>
        <w:t xml:space="preserve"> Coverage/Preventive Services</w:t>
      </w:r>
      <w:r w:rsidR="008D6206" w:rsidRPr="00E47C64">
        <w:rPr>
          <w:rFonts w:ascii="Times New Roman" w:hAnsi="Times New Roman" w:cs="Times New Roman"/>
          <w:color w:val="000000"/>
        </w:rPr>
        <w:t>,” National Family Planning, National Family Planning &amp; Reproductive Health Association, accessed 1</w:t>
      </w:r>
      <w:r w:rsidR="00C604C5">
        <w:rPr>
          <w:rFonts w:ascii="Times New Roman" w:hAnsi="Times New Roman" w:cs="Times New Roman"/>
          <w:color w:val="000000"/>
        </w:rPr>
        <w:t>2</w:t>
      </w:r>
      <w:r w:rsidR="008D6206" w:rsidRPr="00E47C64">
        <w:rPr>
          <w:rFonts w:ascii="Times New Roman" w:hAnsi="Times New Roman" w:cs="Times New Roman"/>
          <w:color w:val="000000"/>
        </w:rPr>
        <w:t xml:space="preserve"> April 2021, </w:t>
      </w:r>
      <w:r w:rsidR="00C604C5" w:rsidRPr="00C604C5">
        <w:rPr>
          <w:rFonts w:ascii="Times New Roman" w:hAnsi="Times New Roman" w:cs="Times New Roman"/>
          <w:color w:val="000000"/>
        </w:rPr>
        <w:t>https://www.nationalfamilyplanning.org/Contraceptive_Coverage_Preventive_Services-Legal_Action</w:t>
      </w:r>
      <w:r w:rsidR="008D6206" w:rsidRPr="00E47C64">
        <w:rPr>
          <w:rFonts w:ascii="Times New Roman" w:hAnsi="Times New Roman" w:cs="Times New Roman"/>
          <w:color w:val="000000"/>
        </w:rPr>
        <w:t>.</w:t>
      </w:r>
    </w:p>
  </w:footnote>
  <w:footnote w:id="25">
    <w:p w14:paraId="5040C5FF" w14:textId="2019A88E" w:rsidR="00E22EC9" w:rsidRDefault="00E22EC9" w:rsidP="00E22EC9">
      <w:pPr>
        <w:pStyle w:val="NormalWeb"/>
        <w:spacing w:before="0" w:beforeAutospacing="0" w:after="0" w:afterAutospacing="0"/>
      </w:pPr>
      <w:r>
        <w:rPr>
          <w:rStyle w:val="FootnoteReference"/>
        </w:rPr>
        <w:footnoteRef/>
      </w:r>
      <w:r>
        <w:t xml:space="preserve"> </w:t>
      </w:r>
      <w:r w:rsidRPr="00E22EC9">
        <w:rPr>
          <w:rFonts w:ascii="Arial" w:hAnsi="Arial" w:cs="Arial"/>
          <w:color w:val="000000"/>
          <w:sz w:val="20"/>
          <w:szCs w:val="20"/>
        </w:rPr>
        <w:t> </w:t>
      </w:r>
      <w:r w:rsidR="00473C41" w:rsidRPr="006F7AE7">
        <w:rPr>
          <w:color w:val="000000"/>
          <w:sz w:val="20"/>
          <w:szCs w:val="20"/>
        </w:rPr>
        <w:t>“</w:t>
      </w:r>
      <w:r w:rsidR="006F7AE7" w:rsidRPr="006F7AE7">
        <w:rPr>
          <w:color w:val="000000"/>
          <w:sz w:val="20"/>
          <w:szCs w:val="20"/>
        </w:rPr>
        <w:t>’</w:t>
      </w:r>
      <w:r w:rsidR="00473C41" w:rsidRPr="006F7AE7">
        <w:rPr>
          <w:color w:val="000000"/>
          <w:sz w:val="20"/>
          <w:szCs w:val="20"/>
        </w:rPr>
        <w:t>Kathleen Sebelius et al. v. Hobby Lobby Stores, Inc., et al</w:t>
      </w:r>
      <w:r w:rsidR="006F7AE7" w:rsidRPr="006F7AE7">
        <w:rPr>
          <w:color w:val="000000"/>
          <w:sz w:val="20"/>
          <w:szCs w:val="20"/>
        </w:rPr>
        <w:t>’</w:t>
      </w:r>
      <w:r w:rsidR="00473C41" w:rsidRPr="006F7AE7">
        <w:rPr>
          <w:color w:val="000000"/>
          <w:sz w:val="20"/>
          <w:szCs w:val="20"/>
        </w:rPr>
        <w:t xml:space="preserve"> and </w:t>
      </w:r>
      <w:r w:rsidR="006F7AE7" w:rsidRPr="006F7AE7">
        <w:rPr>
          <w:color w:val="000000"/>
          <w:sz w:val="20"/>
          <w:szCs w:val="20"/>
        </w:rPr>
        <w:t>‘Conestoga Woods Specialties Corp, et al. v. Kathleen Sebelius et al.’,” The Supreme Court of the United States,</w:t>
      </w:r>
      <w:r w:rsidR="002F4892">
        <w:rPr>
          <w:color w:val="000000"/>
          <w:sz w:val="20"/>
          <w:szCs w:val="20"/>
        </w:rPr>
        <w:t xml:space="preserve"> NFPRHA,</w:t>
      </w:r>
      <w:r w:rsidR="006F7AE7" w:rsidRPr="006F7AE7">
        <w:rPr>
          <w:color w:val="000000"/>
          <w:sz w:val="20"/>
          <w:szCs w:val="20"/>
        </w:rPr>
        <w:t xml:space="preserve"> 2016, </w:t>
      </w:r>
      <w:r w:rsidR="000342DE" w:rsidRPr="000342DE">
        <w:rPr>
          <w:color w:val="000000"/>
          <w:sz w:val="20"/>
          <w:szCs w:val="20"/>
        </w:rPr>
        <w:t>https://www.nationalfamilyplanning.org/document.doc?id=1370</w:t>
      </w:r>
      <w:r w:rsidR="000342DE">
        <w:rPr>
          <w:color w:val="000000"/>
          <w:sz w:val="20"/>
          <w:szCs w:val="20"/>
        </w:rPr>
        <w:t xml:space="preserve">, 1. </w:t>
      </w:r>
    </w:p>
  </w:footnote>
  <w:footnote w:id="26">
    <w:p w14:paraId="44EF5D52" w14:textId="250452F2" w:rsidR="00C43E13" w:rsidRDefault="00C43E13">
      <w:pPr>
        <w:pStyle w:val="FootnoteText"/>
      </w:pPr>
      <w:r>
        <w:rPr>
          <w:rStyle w:val="FootnoteReference"/>
        </w:rPr>
        <w:footnoteRef/>
      </w:r>
      <w:r>
        <w:t xml:space="preserve"> </w:t>
      </w:r>
      <w:r w:rsidR="0028530A" w:rsidRPr="0028530A">
        <w:rPr>
          <w:rFonts w:ascii="Times New Roman" w:hAnsi="Times New Roman" w:cs="Times New Roman"/>
        </w:rPr>
        <w:t xml:space="preserve">Marcella, Jessica, “NFPRHA Deeply Disappointed by Supreme Court Decision to Undermine Contraceptive Access,” National Family Planning, NFPRHA, 30 June 2014, </w:t>
      </w:r>
      <w:r w:rsidR="000342DE" w:rsidRPr="000342DE">
        <w:rPr>
          <w:rFonts w:ascii="Times New Roman" w:hAnsi="Times New Roman" w:cs="Times New Roman"/>
        </w:rPr>
        <w:t>https://www.nationalfamilyplanning.org/file/Statement-by-Clare-Coleman-on-SCOTUS-Hobby-Lobby-Decision_FINAL.pdf</w:t>
      </w:r>
      <w:r w:rsidR="000342DE">
        <w:rPr>
          <w:rFonts w:ascii="Times New Roman" w:hAnsi="Times New Roman" w:cs="Times New Roman"/>
        </w:rPr>
        <w:t xml:space="preserve">, 1. </w:t>
      </w:r>
    </w:p>
  </w:footnote>
  <w:footnote w:id="27">
    <w:p w14:paraId="3BC748EF" w14:textId="5979E2B8" w:rsidR="00454841" w:rsidRDefault="00454841" w:rsidP="00454841">
      <w:pPr>
        <w:pStyle w:val="NormalWeb"/>
        <w:spacing w:before="0" w:beforeAutospacing="0" w:after="0" w:afterAutospacing="0"/>
      </w:pPr>
      <w:r>
        <w:rPr>
          <w:rStyle w:val="FootnoteReference"/>
        </w:rPr>
        <w:footnoteRef/>
      </w:r>
      <w:r>
        <w:t xml:space="preserve"> </w:t>
      </w:r>
      <w:r w:rsidRPr="00454841">
        <w:rPr>
          <w:rFonts w:ascii="Arial" w:hAnsi="Arial" w:cs="Arial"/>
          <w:color w:val="000000"/>
          <w:sz w:val="20"/>
          <w:szCs w:val="20"/>
        </w:rPr>
        <w:t> </w:t>
      </w:r>
      <w:r w:rsidR="00EC13B0" w:rsidRPr="00EC13B0">
        <w:rPr>
          <w:color w:val="000000"/>
          <w:sz w:val="20"/>
          <w:szCs w:val="20"/>
        </w:rPr>
        <w:t>“David Zubik, et al. v. Sylvia Burwell, et al.,” The Supreme Court of the United States, NFPRHA, 2014,</w:t>
      </w:r>
      <w:r w:rsidR="00EC13B0" w:rsidRPr="00EC13B0">
        <w:t xml:space="preserve"> </w:t>
      </w:r>
      <w:r w:rsidR="000342DE" w:rsidRPr="000342DE">
        <w:rPr>
          <w:color w:val="000000"/>
          <w:sz w:val="20"/>
          <w:szCs w:val="20"/>
        </w:rPr>
        <w:t>https://www.nationalfamilyplanning.org/file/NHelpZubikAmicusBrief.pdf</w:t>
      </w:r>
      <w:r w:rsidR="000342DE">
        <w:rPr>
          <w:color w:val="000000"/>
          <w:sz w:val="20"/>
          <w:szCs w:val="20"/>
        </w:rPr>
        <w:t xml:space="preserve">, 1. </w:t>
      </w:r>
    </w:p>
  </w:footnote>
  <w:footnote w:id="28">
    <w:p w14:paraId="779FE43C" w14:textId="705FD7D2" w:rsidR="00454841" w:rsidRDefault="00454841">
      <w:pPr>
        <w:pStyle w:val="FootnoteText"/>
      </w:pPr>
      <w:r>
        <w:rPr>
          <w:rStyle w:val="FootnoteReference"/>
        </w:rPr>
        <w:footnoteRef/>
      </w:r>
      <w:r>
        <w:t xml:space="preserve">  </w:t>
      </w:r>
      <w:r w:rsidR="003469E7" w:rsidRPr="000342DE">
        <w:rPr>
          <w:rFonts w:ascii="Times New Roman" w:hAnsi="Times New Roman" w:cs="Times New Roman"/>
        </w:rPr>
        <w:t>“Burwell v. Hobby Lobby Stores,” Oyez, Accessed 13 April 2021, https://www.oyez.org/cases/2013/13-354.</w:t>
      </w:r>
      <w:r w:rsidR="003469E7">
        <w:t xml:space="preserve"> </w:t>
      </w:r>
    </w:p>
  </w:footnote>
  <w:footnote w:id="29">
    <w:p w14:paraId="3B3A128B" w14:textId="43B769E0" w:rsidR="00454841" w:rsidRDefault="00454841">
      <w:pPr>
        <w:pStyle w:val="FootnoteText"/>
      </w:pPr>
      <w:r>
        <w:rPr>
          <w:rStyle w:val="FootnoteReference"/>
        </w:rPr>
        <w:footnoteRef/>
      </w:r>
      <w:r>
        <w:t xml:space="preserve"> </w:t>
      </w:r>
      <w:r w:rsidR="00BB5967" w:rsidRPr="00AC364F">
        <w:rPr>
          <w:rFonts w:ascii="Times New Roman" w:hAnsi="Times New Roman" w:cs="Times New Roman"/>
        </w:rPr>
        <w:t>“Burwell v. Hobby Lobby Stores.”</w:t>
      </w:r>
    </w:p>
  </w:footnote>
  <w:footnote w:id="30">
    <w:p w14:paraId="66426D5B" w14:textId="52F9D9E3" w:rsidR="00BF2AA9" w:rsidRDefault="00BF2AA9">
      <w:pPr>
        <w:pStyle w:val="FootnoteText"/>
      </w:pPr>
      <w:r>
        <w:rPr>
          <w:rStyle w:val="FootnoteReference"/>
        </w:rPr>
        <w:footnoteRef/>
      </w:r>
      <w:r>
        <w:t xml:space="preserve"> </w:t>
      </w:r>
      <w:r w:rsidR="00C675CD" w:rsidRPr="008D0972">
        <w:rPr>
          <w:rFonts w:ascii="Times New Roman" w:hAnsi="Times New Roman" w:cs="Times New Roman"/>
        </w:rPr>
        <w:t xml:space="preserve">“Zubik v. Burwell,” </w:t>
      </w:r>
      <w:r w:rsidR="008D0972" w:rsidRPr="008D0972">
        <w:rPr>
          <w:rFonts w:ascii="Times New Roman" w:hAnsi="Times New Roman" w:cs="Times New Roman"/>
        </w:rPr>
        <w:t>Oyez, Accessed 13 April 2021, https://www.oyez.org/cases/2015/14-1418.</w:t>
      </w:r>
      <w:r w:rsidR="008D0972">
        <w:rPr>
          <w:rFonts w:ascii="Times New Roman" w:hAnsi="Times New Roman" w:cs="Times New Roman"/>
        </w:rPr>
        <w:t xml:space="preserve"> </w:t>
      </w:r>
    </w:p>
  </w:footnote>
  <w:footnote w:id="31">
    <w:p w14:paraId="2A9E19B0" w14:textId="1C345CB2" w:rsidR="00BF7DA8" w:rsidRDefault="00BF7DA8">
      <w:pPr>
        <w:pStyle w:val="FootnoteText"/>
      </w:pPr>
      <w:r>
        <w:rPr>
          <w:rStyle w:val="FootnoteReference"/>
        </w:rPr>
        <w:footnoteRef/>
      </w:r>
      <w:r>
        <w:t xml:space="preserve"> </w:t>
      </w:r>
      <w:r w:rsidR="00920847" w:rsidRPr="00920847">
        <w:rPr>
          <w:rFonts w:ascii="Times New Roman" w:hAnsi="Times New Roman" w:cs="Times New Roman"/>
        </w:rPr>
        <w:t>Coleman, Clare, “Religious Exemptions and Accommodations for Coverage of Certain Preventive Services Under the Affordable Care Act (CMS-9940-IFC)</w:t>
      </w:r>
      <w:r w:rsidR="00CD6015">
        <w:rPr>
          <w:rFonts w:ascii="Times New Roman" w:hAnsi="Times New Roman" w:cs="Times New Roman"/>
        </w:rPr>
        <w:t>,</w:t>
      </w:r>
      <w:r w:rsidR="00920847" w:rsidRPr="00920847">
        <w:rPr>
          <w:rFonts w:ascii="Times New Roman" w:hAnsi="Times New Roman" w:cs="Times New Roman"/>
        </w:rPr>
        <w:t xml:space="preserve">” National Family Planning &amp; Reproductive Health Association, NFPRHA, 5 December 2017, </w:t>
      </w:r>
      <w:r w:rsidR="00297707" w:rsidRPr="00297707">
        <w:rPr>
          <w:rFonts w:ascii="Times New Roman" w:hAnsi="Times New Roman" w:cs="Times New Roman"/>
        </w:rPr>
        <w:t>https://www.nationalfamilyplanning.org/file/NFPRHAcomments_religious_exemptions_contraceptive-coverage_IFR_FINAL_.pdf</w:t>
      </w:r>
      <w:r w:rsidR="00297707">
        <w:rPr>
          <w:rFonts w:ascii="Times New Roman" w:hAnsi="Times New Roman" w:cs="Times New Roman"/>
        </w:rPr>
        <w:t>, 1</w:t>
      </w:r>
      <w:r w:rsidR="00920847" w:rsidRPr="00920847">
        <w:rPr>
          <w:rFonts w:ascii="Times New Roman" w:hAnsi="Times New Roman" w:cs="Times New Roman"/>
        </w:rPr>
        <w:t>.</w:t>
      </w:r>
      <w:r w:rsidR="00920847">
        <w:t xml:space="preserve"> </w:t>
      </w:r>
    </w:p>
  </w:footnote>
  <w:footnote w:id="32">
    <w:p w14:paraId="731A3F79" w14:textId="732412FD" w:rsidR="00BF7DA8" w:rsidRDefault="00BF7DA8">
      <w:pPr>
        <w:pStyle w:val="FootnoteText"/>
      </w:pPr>
      <w:r>
        <w:rPr>
          <w:rStyle w:val="FootnoteReference"/>
        </w:rPr>
        <w:footnoteRef/>
      </w:r>
      <w:r>
        <w:t xml:space="preserve"> </w:t>
      </w:r>
      <w:r w:rsidR="00EF47AF" w:rsidRPr="00B62EB3">
        <w:rPr>
          <w:rFonts w:ascii="Times New Roman" w:hAnsi="Times New Roman" w:cs="Times New Roman"/>
        </w:rPr>
        <w:t>C</w:t>
      </w:r>
      <w:r w:rsidR="00B62EB3" w:rsidRPr="00B62EB3">
        <w:rPr>
          <w:rFonts w:ascii="Times New Roman" w:hAnsi="Times New Roman" w:cs="Times New Roman"/>
        </w:rPr>
        <w:t xml:space="preserve">oleman, Clare, “Moral Exemptions and Accommodations for Coverage of Certain Preventive Services Under the Affordable Care Act (CMS-9925-IFC),” National Family Planning &amp; Reproductive Health Association, NFPRHA, 5 December 2017, </w:t>
      </w:r>
      <w:r w:rsidR="00297707" w:rsidRPr="00297707">
        <w:rPr>
          <w:rFonts w:ascii="Times New Roman" w:hAnsi="Times New Roman" w:cs="Times New Roman"/>
        </w:rPr>
        <w:t>https://www.nationalfamilyplanning.org/file/NFPRHAcomments_moral_exemptions_contraceptive-coverage_IFR_FINAL.pdf</w:t>
      </w:r>
      <w:r w:rsidR="00297707">
        <w:rPr>
          <w:rFonts w:ascii="Times New Roman" w:hAnsi="Times New Roman" w:cs="Times New Roman"/>
        </w:rPr>
        <w:t>, 12</w:t>
      </w:r>
      <w:r w:rsidR="00B62EB3" w:rsidRPr="00B62EB3">
        <w:rPr>
          <w:rFonts w:ascii="Times New Roman" w:hAnsi="Times New Roman" w:cs="Times New Roman"/>
        </w:rPr>
        <w:t>.</w:t>
      </w:r>
    </w:p>
  </w:footnote>
  <w:footnote w:id="33">
    <w:p w14:paraId="4B50E7D1" w14:textId="1F08349E" w:rsidR="00E47CEC" w:rsidRDefault="00E47CEC">
      <w:pPr>
        <w:pStyle w:val="FootnoteText"/>
      </w:pPr>
      <w:r>
        <w:rPr>
          <w:rStyle w:val="FootnoteReference"/>
        </w:rPr>
        <w:footnoteRef/>
      </w:r>
      <w:r>
        <w:t xml:space="preserve"> </w:t>
      </w:r>
      <w:r w:rsidR="00297707" w:rsidRPr="00297707">
        <w:rPr>
          <w:rFonts w:ascii="Times New Roman" w:hAnsi="Times New Roman" w:cs="Times New Roman"/>
        </w:rPr>
        <w:t>Coleman 2017 “Religious Exemptions</w:t>
      </w:r>
      <w:r w:rsidR="00297707">
        <w:rPr>
          <w:rFonts w:ascii="Times New Roman" w:hAnsi="Times New Roman" w:cs="Times New Roman"/>
        </w:rPr>
        <w:t>,</w:t>
      </w:r>
      <w:r w:rsidR="00297707" w:rsidRPr="00297707">
        <w:rPr>
          <w:rFonts w:ascii="Times New Roman" w:hAnsi="Times New Roman" w:cs="Times New Roman"/>
        </w:rPr>
        <w:t>”</w:t>
      </w:r>
      <w:r w:rsidR="00297707">
        <w:rPr>
          <w:rFonts w:ascii="Times New Roman" w:hAnsi="Times New Roman" w:cs="Times New Roman"/>
        </w:rPr>
        <w:t xml:space="preserve">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3999178"/>
      <w:docPartObj>
        <w:docPartGallery w:val="Page Numbers (Top of Page)"/>
        <w:docPartUnique/>
      </w:docPartObj>
    </w:sdtPr>
    <w:sdtEndPr>
      <w:rPr>
        <w:rStyle w:val="PageNumber"/>
      </w:rPr>
    </w:sdtEndPr>
    <w:sdtContent>
      <w:p w14:paraId="5B89DDE2" w14:textId="770DF473" w:rsidR="00492249" w:rsidRDefault="00492249" w:rsidP="00F974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2C485" w14:textId="77777777" w:rsidR="00492249" w:rsidRDefault="00492249" w:rsidP="004922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996545341"/>
      <w:docPartObj>
        <w:docPartGallery w:val="Page Numbers (Top of Page)"/>
        <w:docPartUnique/>
      </w:docPartObj>
    </w:sdtPr>
    <w:sdtEndPr>
      <w:rPr>
        <w:rStyle w:val="PageNumber"/>
      </w:rPr>
    </w:sdtEndPr>
    <w:sdtContent>
      <w:p w14:paraId="669BB9A4" w14:textId="627326CA" w:rsidR="00492249" w:rsidRPr="00492249" w:rsidRDefault="00492249" w:rsidP="00F97447">
        <w:pPr>
          <w:pStyle w:val="Header"/>
          <w:framePr w:wrap="none" w:vAnchor="text" w:hAnchor="margin" w:xAlign="right" w:y="1"/>
          <w:rPr>
            <w:rStyle w:val="PageNumber"/>
            <w:rFonts w:ascii="Times New Roman" w:hAnsi="Times New Roman" w:cs="Times New Roman"/>
          </w:rPr>
        </w:pPr>
        <w:r w:rsidRPr="00492249">
          <w:rPr>
            <w:rStyle w:val="PageNumber"/>
            <w:rFonts w:ascii="Times New Roman" w:hAnsi="Times New Roman" w:cs="Times New Roman"/>
          </w:rPr>
          <w:t xml:space="preserve">Harder </w:t>
        </w:r>
        <w:r w:rsidRPr="00492249">
          <w:rPr>
            <w:rStyle w:val="PageNumber"/>
            <w:rFonts w:ascii="Times New Roman" w:hAnsi="Times New Roman" w:cs="Times New Roman"/>
          </w:rPr>
          <w:fldChar w:fldCharType="begin"/>
        </w:r>
        <w:r w:rsidRPr="00492249">
          <w:rPr>
            <w:rStyle w:val="PageNumber"/>
            <w:rFonts w:ascii="Times New Roman" w:hAnsi="Times New Roman" w:cs="Times New Roman"/>
          </w:rPr>
          <w:instrText xml:space="preserve"> PAGE </w:instrText>
        </w:r>
        <w:r w:rsidRPr="00492249">
          <w:rPr>
            <w:rStyle w:val="PageNumber"/>
            <w:rFonts w:ascii="Times New Roman" w:hAnsi="Times New Roman" w:cs="Times New Roman"/>
          </w:rPr>
          <w:fldChar w:fldCharType="separate"/>
        </w:r>
        <w:r w:rsidRPr="00492249">
          <w:rPr>
            <w:rStyle w:val="PageNumber"/>
            <w:rFonts w:ascii="Times New Roman" w:hAnsi="Times New Roman" w:cs="Times New Roman"/>
            <w:noProof/>
          </w:rPr>
          <w:t>1</w:t>
        </w:r>
        <w:r w:rsidRPr="00492249">
          <w:rPr>
            <w:rStyle w:val="PageNumber"/>
            <w:rFonts w:ascii="Times New Roman" w:hAnsi="Times New Roman" w:cs="Times New Roman"/>
          </w:rPr>
          <w:fldChar w:fldCharType="end"/>
        </w:r>
      </w:p>
    </w:sdtContent>
  </w:sdt>
  <w:p w14:paraId="5D38C99F" w14:textId="77777777" w:rsidR="00492249" w:rsidRDefault="00492249" w:rsidP="004922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315E"/>
    <w:multiLevelType w:val="multilevel"/>
    <w:tmpl w:val="4052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B4FD9"/>
    <w:multiLevelType w:val="multilevel"/>
    <w:tmpl w:val="0D22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174D1"/>
    <w:multiLevelType w:val="multilevel"/>
    <w:tmpl w:val="726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60279"/>
    <w:multiLevelType w:val="hybridMultilevel"/>
    <w:tmpl w:val="B54E0450"/>
    <w:lvl w:ilvl="0" w:tplc="07D017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2A"/>
    <w:rsid w:val="000342DE"/>
    <w:rsid w:val="00035482"/>
    <w:rsid w:val="0004709E"/>
    <w:rsid w:val="00062EB3"/>
    <w:rsid w:val="00082854"/>
    <w:rsid w:val="00092274"/>
    <w:rsid w:val="000971A1"/>
    <w:rsid w:val="000B3500"/>
    <w:rsid w:val="000C5529"/>
    <w:rsid w:val="000C7D9D"/>
    <w:rsid w:val="001305DE"/>
    <w:rsid w:val="001311E9"/>
    <w:rsid w:val="00162190"/>
    <w:rsid w:val="00174E29"/>
    <w:rsid w:val="001C4F29"/>
    <w:rsid w:val="001D2816"/>
    <w:rsid w:val="001E1444"/>
    <w:rsid w:val="001E35CB"/>
    <w:rsid w:val="002044E8"/>
    <w:rsid w:val="00231E1C"/>
    <w:rsid w:val="00240C2E"/>
    <w:rsid w:val="00242F15"/>
    <w:rsid w:val="0025321F"/>
    <w:rsid w:val="00263B41"/>
    <w:rsid w:val="00265445"/>
    <w:rsid w:val="002710B7"/>
    <w:rsid w:val="0028530A"/>
    <w:rsid w:val="00297707"/>
    <w:rsid w:val="002C09AF"/>
    <w:rsid w:val="002D4446"/>
    <w:rsid w:val="002F4892"/>
    <w:rsid w:val="0030569E"/>
    <w:rsid w:val="003251B8"/>
    <w:rsid w:val="00325E05"/>
    <w:rsid w:val="003306D5"/>
    <w:rsid w:val="003469E7"/>
    <w:rsid w:val="003524B6"/>
    <w:rsid w:val="00363EB7"/>
    <w:rsid w:val="00364B71"/>
    <w:rsid w:val="00365351"/>
    <w:rsid w:val="003A2CC6"/>
    <w:rsid w:val="003A671A"/>
    <w:rsid w:val="003B7C4B"/>
    <w:rsid w:val="003D640B"/>
    <w:rsid w:val="00401053"/>
    <w:rsid w:val="00454279"/>
    <w:rsid w:val="00454841"/>
    <w:rsid w:val="0047161F"/>
    <w:rsid w:val="00473C41"/>
    <w:rsid w:val="00473E29"/>
    <w:rsid w:val="00475684"/>
    <w:rsid w:val="00481E56"/>
    <w:rsid w:val="00492249"/>
    <w:rsid w:val="00492DE0"/>
    <w:rsid w:val="00496356"/>
    <w:rsid w:val="004B217E"/>
    <w:rsid w:val="004B6855"/>
    <w:rsid w:val="004D6582"/>
    <w:rsid w:val="004E3319"/>
    <w:rsid w:val="004F4865"/>
    <w:rsid w:val="005136EB"/>
    <w:rsid w:val="00523B2A"/>
    <w:rsid w:val="005257E6"/>
    <w:rsid w:val="00540B5A"/>
    <w:rsid w:val="00586FA4"/>
    <w:rsid w:val="00596202"/>
    <w:rsid w:val="005B0B44"/>
    <w:rsid w:val="005B320A"/>
    <w:rsid w:val="005C3549"/>
    <w:rsid w:val="005C5878"/>
    <w:rsid w:val="005D5356"/>
    <w:rsid w:val="005E38EE"/>
    <w:rsid w:val="006213EF"/>
    <w:rsid w:val="00627AD7"/>
    <w:rsid w:val="00663B67"/>
    <w:rsid w:val="006679FD"/>
    <w:rsid w:val="00687858"/>
    <w:rsid w:val="006B0F6A"/>
    <w:rsid w:val="006B28C4"/>
    <w:rsid w:val="006C4757"/>
    <w:rsid w:val="006C74ED"/>
    <w:rsid w:val="006D47A6"/>
    <w:rsid w:val="006F7AE7"/>
    <w:rsid w:val="00701204"/>
    <w:rsid w:val="007058AB"/>
    <w:rsid w:val="00715950"/>
    <w:rsid w:val="0072700D"/>
    <w:rsid w:val="00790DFB"/>
    <w:rsid w:val="007B0512"/>
    <w:rsid w:val="007C0564"/>
    <w:rsid w:val="007C2AD5"/>
    <w:rsid w:val="007C5DB0"/>
    <w:rsid w:val="007D2E3C"/>
    <w:rsid w:val="007E05E5"/>
    <w:rsid w:val="007E68CB"/>
    <w:rsid w:val="007E7F7D"/>
    <w:rsid w:val="00800769"/>
    <w:rsid w:val="008027DD"/>
    <w:rsid w:val="00804FE8"/>
    <w:rsid w:val="0080619A"/>
    <w:rsid w:val="008233C8"/>
    <w:rsid w:val="008451FF"/>
    <w:rsid w:val="00857D91"/>
    <w:rsid w:val="008A4985"/>
    <w:rsid w:val="008A4FC2"/>
    <w:rsid w:val="008A5711"/>
    <w:rsid w:val="008D0972"/>
    <w:rsid w:val="008D0BEE"/>
    <w:rsid w:val="008D6206"/>
    <w:rsid w:val="008E7890"/>
    <w:rsid w:val="008F37D7"/>
    <w:rsid w:val="00915DB4"/>
    <w:rsid w:val="00920847"/>
    <w:rsid w:val="009349BB"/>
    <w:rsid w:val="009556F6"/>
    <w:rsid w:val="00956620"/>
    <w:rsid w:val="00966151"/>
    <w:rsid w:val="00981268"/>
    <w:rsid w:val="00996A74"/>
    <w:rsid w:val="009A1D3B"/>
    <w:rsid w:val="009B1D50"/>
    <w:rsid w:val="009C42FA"/>
    <w:rsid w:val="009D0BE1"/>
    <w:rsid w:val="009E42D4"/>
    <w:rsid w:val="009F6DE6"/>
    <w:rsid w:val="00A1127A"/>
    <w:rsid w:val="00A268EE"/>
    <w:rsid w:val="00A454E8"/>
    <w:rsid w:val="00A5361A"/>
    <w:rsid w:val="00A634D9"/>
    <w:rsid w:val="00A74F7E"/>
    <w:rsid w:val="00A760A0"/>
    <w:rsid w:val="00A833F7"/>
    <w:rsid w:val="00A90D76"/>
    <w:rsid w:val="00A9515E"/>
    <w:rsid w:val="00AC364F"/>
    <w:rsid w:val="00AC7FB0"/>
    <w:rsid w:val="00AD1695"/>
    <w:rsid w:val="00AD5513"/>
    <w:rsid w:val="00AE186D"/>
    <w:rsid w:val="00B301D7"/>
    <w:rsid w:val="00B33C6F"/>
    <w:rsid w:val="00B52413"/>
    <w:rsid w:val="00B62EB3"/>
    <w:rsid w:val="00B66165"/>
    <w:rsid w:val="00B94BAC"/>
    <w:rsid w:val="00BB5967"/>
    <w:rsid w:val="00BC1671"/>
    <w:rsid w:val="00BC50F3"/>
    <w:rsid w:val="00BC54C4"/>
    <w:rsid w:val="00BF2AA9"/>
    <w:rsid w:val="00BF7DA8"/>
    <w:rsid w:val="00C312A9"/>
    <w:rsid w:val="00C43E13"/>
    <w:rsid w:val="00C55FC4"/>
    <w:rsid w:val="00C604C5"/>
    <w:rsid w:val="00C675CD"/>
    <w:rsid w:val="00CA155F"/>
    <w:rsid w:val="00CB2CBF"/>
    <w:rsid w:val="00CB6C75"/>
    <w:rsid w:val="00CD6015"/>
    <w:rsid w:val="00CF0B05"/>
    <w:rsid w:val="00CF0EEF"/>
    <w:rsid w:val="00CF2956"/>
    <w:rsid w:val="00CF52E6"/>
    <w:rsid w:val="00CF597A"/>
    <w:rsid w:val="00D053B6"/>
    <w:rsid w:val="00D21667"/>
    <w:rsid w:val="00D33624"/>
    <w:rsid w:val="00D43BDD"/>
    <w:rsid w:val="00D62ED9"/>
    <w:rsid w:val="00D660A2"/>
    <w:rsid w:val="00D755C1"/>
    <w:rsid w:val="00D8116B"/>
    <w:rsid w:val="00D85723"/>
    <w:rsid w:val="00D86A8B"/>
    <w:rsid w:val="00D930F2"/>
    <w:rsid w:val="00DD2837"/>
    <w:rsid w:val="00DE36CC"/>
    <w:rsid w:val="00E22EC9"/>
    <w:rsid w:val="00E3096B"/>
    <w:rsid w:val="00E44C55"/>
    <w:rsid w:val="00E47C64"/>
    <w:rsid w:val="00E47CEC"/>
    <w:rsid w:val="00E47FB3"/>
    <w:rsid w:val="00E61C52"/>
    <w:rsid w:val="00E854D9"/>
    <w:rsid w:val="00EB60CF"/>
    <w:rsid w:val="00EC13B0"/>
    <w:rsid w:val="00ED0A5C"/>
    <w:rsid w:val="00EE0741"/>
    <w:rsid w:val="00EF1164"/>
    <w:rsid w:val="00EF47AF"/>
    <w:rsid w:val="00EF6C4D"/>
    <w:rsid w:val="00F21854"/>
    <w:rsid w:val="00F24DAA"/>
    <w:rsid w:val="00F24F45"/>
    <w:rsid w:val="00F265DB"/>
    <w:rsid w:val="00F4575B"/>
    <w:rsid w:val="00F5782B"/>
    <w:rsid w:val="00F65262"/>
    <w:rsid w:val="00FB067E"/>
    <w:rsid w:val="00FC114A"/>
    <w:rsid w:val="00FD24D1"/>
    <w:rsid w:val="00FF4947"/>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3DDD6"/>
  <w15:chartTrackingRefBased/>
  <w15:docId w15:val="{7EAC5A63-6848-2C41-8243-3773A1AA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0F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1444"/>
    <w:rPr>
      <w:sz w:val="20"/>
      <w:szCs w:val="20"/>
    </w:rPr>
  </w:style>
  <w:style w:type="character" w:customStyle="1" w:styleId="FootnoteTextChar">
    <w:name w:val="Footnote Text Char"/>
    <w:basedOn w:val="DefaultParagraphFont"/>
    <w:link w:val="FootnoteText"/>
    <w:uiPriority w:val="99"/>
    <w:rsid w:val="001E1444"/>
    <w:rPr>
      <w:sz w:val="20"/>
      <w:szCs w:val="20"/>
    </w:rPr>
  </w:style>
  <w:style w:type="character" w:styleId="FootnoteReference">
    <w:name w:val="footnote reference"/>
    <w:basedOn w:val="DefaultParagraphFont"/>
    <w:uiPriority w:val="99"/>
    <w:semiHidden/>
    <w:unhideWhenUsed/>
    <w:rsid w:val="001E1444"/>
    <w:rPr>
      <w:vertAlign w:val="superscript"/>
    </w:rPr>
  </w:style>
  <w:style w:type="paragraph" w:styleId="NormalWeb">
    <w:name w:val="Normal (Web)"/>
    <w:basedOn w:val="Normal"/>
    <w:uiPriority w:val="99"/>
    <w:unhideWhenUsed/>
    <w:rsid w:val="001E144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81268"/>
    <w:pPr>
      <w:tabs>
        <w:tab w:val="center" w:pos="4680"/>
        <w:tab w:val="right" w:pos="9360"/>
      </w:tabs>
    </w:pPr>
  </w:style>
  <w:style w:type="character" w:customStyle="1" w:styleId="FooterChar">
    <w:name w:val="Footer Char"/>
    <w:basedOn w:val="DefaultParagraphFont"/>
    <w:link w:val="Footer"/>
    <w:uiPriority w:val="99"/>
    <w:rsid w:val="00981268"/>
  </w:style>
  <w:style w:type="character" w:styleId="PageNumber">
    <w:name w:val="page number"/>
    <w:basedOn w:val="DefaultParagraphFont"/>
    <w:uiPriority w:val="99"/>
    <w:semiHidden/>
    <w:unhideWhenUsed/>
    <w:rsid w:val="00981268"/>
  </w:style>
  <w:style w:type="paragraph" w:styleId="Header">
    <w:name w:val="header"/>
    <w:basedOn w:val="Normal"/>
    <w:link w:val="HeaderChar"/>
    <w:uiPriority w:val="99"/>
    <w:unhideWhenUsed/>
    <w:rsid w:val="00981268"/>
    <w:pPr>
      <w:tabs>
        <w:tab w:val="center" w:pos="4680"/>
        <w:tab w:val="right" w:pos="9360"/>
      </w:tabs>
    </w:pPr>
  </w:style>
  <w:style w:type="character" w:customStyle="1" w:styleId="HeaderChar">
    <w:name w:val="Header Char"/>
    <w:basedOn w:val="DefaultParagraphFont"/>
    <w:link w:val="Header"/>
    <w:uiPriority w:val="99"/>
    <w:rsid w:val="00981268"/>
  </w:style>
  <w:style w:type="character" w:customStyle="1" w:styleId="Heading1Char">
    <w:name w:val="Heading 1 Char"/>
    <w:basedOn w:val="DefaultParagraphFont"/>
    <w:link w:val="Heading1"/>
    <w:uiPriority w:val="9"/>
    <w:rsid w:val="00D930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2190"/>
    <w:rPr>
      <w:color w:val="0563C1" w:themeColor="hyperlink"/>
      <w:u w:val="single"/>
    </w:rPr>
  </w:style>
  <w:style w:type="character" w:styleId="UnresolvedMention">
    <w:name w:val="Unresolved Mention"/>
    <w:basedOn w:val="DefaultParagraphFont"/>
    <w:uiPriority w:val="99"/>
    <w:semiHidden/>
    <w:unhideWhenUsed/>
    <w:rsid w:val="00162190"/>
    <w:rPr>
      <w:color w:val="605E5C"/>
      <w:shd w:val="clear" w:color="auto" w:fill="E1DFDD"/>
    </w:rPr>
  </w:style>
  <w:style w:type="character" w:styleId="FollowedHyperlink">
    <w:name w:val="FollowedHyperlink"/>
    <w:basedOn w:val="DefaultParagraphFont"/>
    <w:uiPriority w:val="99"/>
    <w:semiHidden/>
    <w:unhideWhenUsed/>
    <w:rsid w:val="007D2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9215">
      <w:bodyDiv w:val="1"/>
      <w:marLeft w:val="0"/>
      <w:marRight w:val="0"/>
      <w:marTop w:val="0"/>
      <w:marBottom w:val="0"/>
      <w:divBdr>
        <w:top w:val="none" w:sz="0" w:space="0" w:color="auto"/>
        <w:left w:val="none" w:sz="0" w:space="0" w:color="auto"/>
        <w:bottom w:val="none" w:sz="0" w:space="0" w:color="auto"/>
        <w:right w:val="none" w:sz="0" w:space="0" w:color="auto"/>
      </w:divBdr>
    </w:div>
    <w:div w:id="181211450">
      <w:bodyDiv w:val="1"/>
      <w:marLeft w:val="0"/>
      <w:marRight w:val="0"/>
      <w:marTop w:val="0"/>
      <w:marBottom w:val="0"/>
      <w:divBdr>
        <w:top w:val="none" w:sz="0" w:space="0" w:color="auto"/>
        <w:left w:val="none" w:sz="0" w:space="0" w:color="auto"/>
        <w:bottom w:val="none" w:sz="0" w:space="0" w:color="auto"/>
        <w:right w:val="none" w:sz="0" w:space="0" w:color="auto"/>
      </w:divBdr>
    </w:div>
    <w:div w:id="209000065">
      <w:bodyDiv w:val="1"/>
      <w:marLeft w:val="0"/>
      <w:marRight w:val="0"/>
      <w:marTop w:val="0"/>
      <w:marBottom w:val="0"/>
      <w:divBdr>
        <w:top w:val="none" w:sz="0" w:space="0" w:color="auto"/>
        <w:left w:val="none" w:sz="0" w:space="0" w:color="auto"/>
        <w:bottom w:val="none" w:sz="0" w:space="0" w:color="auto"/>
        <w:right w:val="none" w:sz="0" w:space="0" w:color="auto"/>
      </w:divBdr>
    </w:div>
    <w:div w:id="211114410">
      <w:bodyDiv w:val="1"/>
      <w:marLeft w:val="0"/>
      <w:marRight w:val="0"/>
      <w:marTop w:val="0"/>
      <w:marBottom w:val="0"/>
      <w:divBdr>
        <w:top w:val="none" w:sz="0" w:space="0" w:color="auto"/>
        <w:left w:val="none" w:sz="0" w:space="0" w:color="auto"/>
        <w:bottom w:val="none" w:sz="0" w:space="0" w:color="auto"/>
        <w:right w:val="none" w:sz="0" w:space="0" w:color="auto"/>
      </w:divBdr>
    </w:div>
    <w:div w:id="313027450">
      <w:bodyDiv w:val="1"/>
      <w:marLeft w:val="0"/>
      <w:marRight w:val="0"/>
      <w:marTop w:val="0"/>
      <w:marBottom w:val="0"/>
      <w:divBdr>
        <w:top w:val="none" w:sz="0" w:space="0" w:color="auto"/>
        <w:left w:val="none" w:sz="0" w:space="0" w:color="auto"/>
        <w:bottom w:val="none" w:sz="0" w:space="0" w:color="auto"/>
        <w:right w:val="none" w:sz="0" w:space="0" w:color="auto"/>
      </w:divBdr>
    </w:div>
    <w:div w:id="328211624">
      <w:bodyDiv w:val="1"/>
      <w:marLeft w:val="0"/>
      <w:marRight w:val="0"/>
      <w:marTop w:val="0"/>
      <w:marBottom w:val="0"/>
      <w:divBdr>
        <w:top w:val="none" w:sz="0" w:space="0" w:color="auto"/>
        <w:left w:val="none" w:sz="0" w:space="0" w:color="auto"/>
        <w:bottom w:val="none" w:sz="0" w:space="0" w:color="auto"/>
        <w:right w:val="none" w:sz="0" w:space="0" w:color="auto"/>
      </w:divBdr>
    </w:div>
    <w:div w:id="357435028">
      <w:bodyDiv w:val="1"/>
      <w:marLeft w:val="0"/>
      <w:marRight w:val="0"/>
      <w:marTop w:val="0"/>
      <w:marBottom w:val="0"/>
      <w:divBdr>
        <w:top w:val="none" w:sz="0" w:space="0" w:color="auto"/>
        <w:left w:val="none" w:sz="0" w:space="0" w:color="auto"/>
        <w:bottom w:val="none" w:sz="0" w:space="0" w:color="auto"/>
        <w:right w:val="none" w:sz="0" w:space="0" w:color="auto"/>
      </w:divBdr>
    </w:div>
    <w:div w:id="456724031">
      <w:bodyDiv w:val="1"/>
      <w:marLeft w:val="0"/>
      <w:marRight w:val="0"/>
      <w:marTop w:val="0"/>
      <w:marBottom w:val="0"/>
      <w:divBdr>
        <w:top w:val="none" w:sz="0" w:space="0" w:color="auto"/>
        <w:left w:val="none" w:sz="0" w:space="0" w:color="auto"/>
        <w:bottom w:val="none" w:sz="0" w:space="0" w:color="auto"/>
        <w:right w:val="none" w:sz="0" w:space="0" w:color="auto"/>
      </w:divBdr>
    </w:div>
    <w:div w:id="493183339">
      <w:bodyDiv w:val="1"/>
      <w:marLeft w:val="0"/>
      <w:marRight w:val="0"/>
      <w:marTop w:val="0"/>
      <w:marBottom w:val="0"/>
      <w:divBdr>
        <w:top w:val="none" w:sz="0" w:space="0" w:color="auto"/>
        <w:left w:val="none" w:sz="0" w:space="0" w:color="auto"/>
        <w:bottom w:val="none" w:sz="0" w:space="0" w:color="auto"/>
        <w:right w:val="none" w:sz="0" w:space="0" w:color="auto"/>
      </w:divBdr>
      <w:divsChild>
        <w:div w:id="1869291022">
          <w:marLeft w:val="0"/>
          <w:marRight w:val="0"/>
          <w:marTop w:val="225"/>
          <w:marBottom w:val="315"/>
          <w:divBdr>
            <w:top w:val="none" w:sz="0" w:space="0" w:color="auto"/>
            <w:left w:val="none" w:sz="0" w:space="0" w:color="auto"/>
            <w:bottom w:val="none" w:sz="0" w:space="0" w:color="auto"/>
            <w:right w:val="none" w:sz="0" w:space="0" w:color="auto"/>
          </w:divBdr>
          <w:divsChild>
            <w:div w:id="17546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4626">
      <w:bodyDiv w:val="1"/>
      <w:marLeft w:val="0"/>
      <w:marRight w:val="0"/>
      <w:marTop w:val="0"/>
      <w:marBottom w:val="0"/>
      <w:divBdr>
        <w:top w:val="none" w:sz="0" w:space="0" w:color="auto"/>
        <w:left w:val="none" w:sz="0" w:space="0" w:color="auto"/>
        <w:bottom w:val="none" w:sz="0" w:space="0" w:color="auto"/>
        <w:right w:val="none" w:sz="0" w:space="0" w:color="auto"/>
      </w:divBdr>
    </w:div>
    <w:div w:id="641160691">
      <w:bodyDiv w:val="1"/>
      <w:marLeft w:val="0"/>
      <w:marRight w:val="0"/>
      <w:marTop w:val="0"/>
      <w:marBottom w:val="0"/>
      <w:divBdr>
        <w:top w:val="none" w:sz="0" w:space="0" w:color="auto"/>
        <w:left w:val="none" w:sz="0" w:space="0" w:color="auto"/>
        <w:bottom w:val="none" w:sz="0" w:space="0" w:color="auto"/>
        <w:right w:val="none" w:sz="0" w:space="0" w:color="auto"/>
      </w:divBdr>
    </w:div>
    <w:div w:id="650207982">
      <w:bodyDiv w:val="1"/>
      <w:marLeft w:val="0"/>
      <w:marRight w:val="0"/>
      <w:marTop w:val="0"/>
      <w:marBottom w:val="0"/>
      <w:divBdr>
        <w:top w:val="none" w:sz="0" w:space="0" w:color="auto"/>
        <w:left w:val="none" w:sz="0" w:space="0" w:color="auto"/>
        <w:bottom w:val="none" w:sz="0" w:space="0" w:color="auto"/>
        <w:right w:val="none" w:sz="0" w:space="0" w:color="auto"/>
      </w:divBdr>
    </w:div>
    <w:div w:id="720858661">
      <w:bodyDiv w:val="1"/>
      <w:marLeft w:val="0"/>
      <w:marRight w:val="0"/>
      <w:marTop w:val="0"/>
      <w:marBottom w:val="0"/>
      <w:divBdr>
        <w:top w:val="none" w:sz="0" w:space="0" w:color="auto"/>
        <w:left w:val="none" w:sz="0" w:space="0" w:color="auto"/>
        <w:bottom w:val="none" w:sz="0" w:space="0" w:color="auto"/>
        <w:right w:val="none" w:sz="0" w:space="0" w:color="auto"/>
      </w:divBdr>
    </w:div>
    <w:div w:id="848178385">
      <w:bodyDiv w:val="1"/>
      <w:marLeft w:val="0"/>
      <w:marRight w:val="0"/>
      <w:marTop w:val="0"/>
      <w:marBottom w:val="0"/>
      <w:divBdr>
        <w:top w:val="none" w:sz="0" w:space="0" w:color="auto"/>
        <w:left w:val="none" w:sz="0" w:space="0" w:color="auto"/>
        <w:bottom w:val="none" w:sz="0" w:space="0" w:color="auto"/>
        <w:right w:val="none" w:sz="0" w:space="0" w:color="auto"/>
      </w:divBdr>
    </w:div>
    <w:div w:id="1026903033">
      <w:bodyDiv w:val="1"/>
      <w:marLeft w:val="0"/>
      <w:marRight w:val="0"/>
      <w:marTop w:val="0"/>
      <w:marBottom w:val="0"/>
      <w:divBdr>
        <w:top w:val="none" w:sz="0" w:space="0" w:color="auto"/>
        <w:left w:val="none" w:sz="0" w:space="0" w:color="auto"/>
        <w:bottom w:val="none" w:sz="0" w:space="0" w:color="auto"/>
        <w:right w:val="none" w:sz="0" w:space="0" w:color="auto"/>
      </w:divBdr>
    </w:div>
    <w:div w:id="1038627934">
      <w:bodyDiv w:val="1"/>
      <w:marLeft w:val="0"/>
      <w:marRight w:val="0"/>
      <w:marTop w:val="0"/>
      <w:marBottom w:val="0"/>
      <w:divBdr>
        <w:top w:val="none" w:sz="0" w:space="0" w:color="auto"/>
        <w:left w:val="none" w:sz="0" w:space="0" w:color="auto"/>
        <w:bottom w:val="none" w:sz="0" w:space="0" w:color="auto"/>
        <w:right w:val="none" w:sz="0" w:space="0" w:color="auto"/>
      </w:divBdr>
    </w:div>
    <w:div w:id="1117062732">
      <w:bodyDiv w:val="1"/>
      <w:marLeft w:val="0"/>
      <w:marRight w:val="0"/>
      <w:marTop w:val="0"/>
      <w:marBottom w:val="0"/>
      <w:divBdr>
        <w:top w:val="none" w:sz="0" w:space="0" w:color="auto"/>
        <w:left w:val="none" w:sz="0" w:space="0" w:color="auto"/>
        <w:bottom w:val="none" w:sz="0" w:space="0" w:color="auto"/>
        <w:right w:val="none" w:sz="0" w:space="0" w:color="auto"/>
      </w:divBdr>
    </w:div>
    <w:div w:id="1220092948">
      <w:bodyDiv w:val="1"/>
      <w:marLeft w:val="0"/>
      <w:marRight w:val="0"/>
      <w:marTop w:val="0"/>
      <w:marBottom w:val="0"/>
      <w:divBdr>
        <w:top w:val="none" w:sz="0" w:space="0" w:color="auto"/>
        <w:left w:val="none" w:sz="0" w:space="0" w:color="auto"/>
        <w:bottom w:val="none" w:sz="0" w:space="0" w:color="auto"/>
        <w:right w:val="none" w:sz="0" w:space="0" w:color="auto"/>
      </w:divBdr>
    </w:div>
    <w:div w:id="1243760797">
      <w:bodyDiv w:val="1"/>
      <w:marLeft w:val="0"/>
      <w:marRight w:val="0"/>
      <w:marTop w:val="0"/>
      <w:marBottom w:val="0"/>
      <w:divBdr>
        <w:top w:val="none" w:sz="0" w:space="0" w:color="auto"/>
        <w:left w:val="none" w:sz="0" w:space="0" w:color="auto"/>
        <w:bottom w:val="none" w:sz="0" w:space="0" w:color="auto"/>
        <w:right w:val="none" w:sz="0" w:space="0" w:color="auto"/>
      </w:divBdr>
    </w:div>
    <w:div w:id="1277055228">
      <w:bodyDiv w:val="1"/>
      <w:marLeft w:val="0"/>
      <w:marRight w:val="0"/>
      <w:marTop w:val="0"/>
      <w:marBottom w:val="0"/>
      <w:divBdr>
        <w:top w:val="none" w:sz="0" w:space="0" w:color="auto"/>
        <w:left w:val="none" w:sz="0" w:space="0" w:color="auto"/>
        <w:bottom w:val="none" w:sz="0" w:space="0" w:color="auto"/>
        <w:right w:val="none" w:sz="0" w:space="0" w:color="auto"/>
      </w:divBdr>
    </w:div>
    <w:div w:id="1294486641">
      <w:bodyDiv w:val="1"/>
      <w:marLeft w:val="0"/>
      <w:marRight w:val="0"/>
      <w:marTop w:val="0"/>
      <w:marBottom w:val="0"/>
      <w:divBdr>
        <w:top w:val="none" w:sz="0" w:space="0" w:color="auto"/>
        <w:left w:val="none" w:sz="0" w:space="0" w:color="auto"/>
        <w:bottom w:val="none" w:sz="0" w:space="0" w:color="auto"/>
        <w:right w:val="none" w:sz="0" w:space="0" w:color="auto"/>
      </w:divBdr>
    </w:div>
    <w:div w:id="1444687229">
      <w:bodyDiv w:val="1"/>
      <w:marLeft w:val="0"/>
      <w:marRight w:val="0"/>
      <w:marTop w:val="0"/>
      <w:marBottom w:val="0"/>
      <w:divBdr>
        <w:top w:val="none" w:sz="0" w:space="0" w:color="auto"/>
        <w:left w:val="none" w:sz="0" w:space="0" w:color="auto"/>
        <w:bottom w:val="none" w:sz="0" w:space="0" w:color="auto"/>
        <w:right w:val="none" w:sz="0" w:space="0" w:color="auto"/>
      </w:divBdr>
    </w:div>
    <w:div w:id="1452744764">
      <w:bodyDiv w:val="1"/>
      <w:marLeft w:val="0"/>
      <w:marRight w:val="0"/>
      <w:marTop w:val="0"/>
      <w:marBottom w:val="0"/>
      <w:divBdr>
        <w:top w:val="none" w:sz="0" w:space="0" w:color="auto"/>
        <w:left w:val="none" w:sz="0" w:space="0" w:color="auto"/>
        <w:bottom w:val="none" w:sz="0" w:space="0" w:color="auto"/>
        <w:right w:val="none" w:sz="0" w:space="0" w:color="auto"/>
      </w:divBdr>
    </w:div>
    <w:div w:id="1531258682">
      <w:bodyDiv w:val="1"/>
      <w:marLeft w:val="0"/>
      <w:marRight w:val="0"/>
      <w:marTop w:val="0"/>
      <w:marBottom w:val="0"/>
      <w:divBdr>
        <w:top w:val="none" w:sz="0" w:space="0" w:color="auto"/>
        <w:left w:val="none" w:sz="0" w:space="0" w:color="auto"/>
        <w:bottom w:val="none" w:sz="0" w:space="0" w:color="auto"/>
        <w:right w:val="none" w:sz="0" w:space="0" w:color="auto"/>
      </w:divBdr>
    </w:div>
    <w:div w:id="1613322060">
      <w:bodyDiv w:val="1"/>
      <w:marLeft w:val="0"/>
      <w:marRight w:val="0"/>
      <w:marTop w:val="0"/>
      <w:marBottom w:val="0"/>
      <w:divBdr>
        <w:top w:val="none" w:sz="0" w:space="0" w:color="auto"/>
        <w:left w:val="none" w:sz="0" w:space="0" w:color="auto"/>
        <w:bottom w:val="none" w:sz="0" w:space="0" w:color="auto"/>
        <w:right w:val="none" w:sz="0" w:space="0" w:color="auto"/>
      </w:divBdr>
    </w:div>
    <w:div w:id="1615093688">
      <w:bodyDiv w:val="1"/>
      <w:marLeft w:val="0"/>
      <w:marRight w:val="0"/>
      <w:marTop w:val="0"/>
      <w:marBottom w:val="0"/>
      <w:divBdr>
        <w:top w:val="none" w:sz="0" w:space="0" w:color="auto"/>
        <w:left w:val="none" w:sz="0" w:space="0" w:color="auto"/>
        <w:bottom w:val="none" w:sz="0" w:space="0" w:color="auto"/>
        <w:right w:val="none" w:sz="0" w:space="0" w:color="auto"/>
      </w:divBdr>
    </w:div>
    <w:div w:id="1689327923">
      <w:bodyDiv w:val="1"/>
      <w:marLeft w:val="0"/>
      <w:marRight w:val="0"/>
      <w:marTop w:val="0"/>
      <w:marBottom w:val="0"/>
      <w:divBdr>
        <w:top w:val="none" w:sz="0" w:space="0" w:color="auto"/>
        <w:left w:val="none" w:sz="0" w:space="0" w:color="auto"/>
        <w:bottom w:val="none" w:sz="0" w:space="0" w:color="auto"/>
        <w:right w:val="none" w:sz="0" w:space="0" w:color="auto"/>
      </w:divBdr>
    </w:div>
    <w:div w:id="1742753284">
      <w:bodyDiv w:val="1"/>
      <w:marLeft w:val="0"/>
      <w:marRight w:val="0"/>
      <w:marTop w:val="0"/>
      <w:marBottom w:val="0"/>
      <w:divBdr>
        <w:top w:val="none" w:sz="0" w:space="0" w:color="auto"/>
        <w:left w:val="none" w:sz="0" w:space="0" w:color="auto"/>
        <w:bottom w:val="none" w:sz="0" w:space="0" w:color="auto"/>
        <w:right w:val="none" w:sz="0" w:space="0" w:color="auto"/>
      </w:divBdr>
    </w:div>
    <w:div w:id="1856769468">
      <w:bodyDiv w:val="1"/>
      <w:marLeft w:val="0"/>
      <w:marRight w:val="0"/>
      <w:marTop w:val="0"/>
      <w:marBottom w:val="0"/>
      <w:divBdr>
        <w:top w:val="none" w:sz="0" w:space="0" w:color="auto"/>
        <w:left w:val="none" w:sz="0" w:space="0" w:color="auto"/>
        <w:bottom w:val="none" w:sz="0" w:space="0" w:color="auto"/>
        <w:right w:val="none" w:sz="0" w:space="0" w:color="auto"/>
      </w:divBdr>
    </w:div>
    <w:div w:id="1864053880">
      <w:bodyDiv w:val="1"/>
      <w:marLeft w:val="0"/>
      <w:marRight w:val="0"/>
      <w:marTop w:val="0"/>
      <w:marBottom w:val="0"/>
      <w:divBdr>
        <w:top w:val="none" w:sz="0" w:space="0" w:color="auto"/>
        <w:left w:val="none" w:sz="0" w:space="0" w:color="auto"/>
        <w:bottom w:val="none" w:sz="0" w:space="0" w:color="auto"/>
        <w:right w:val="none" w:sz="0" w:space="0" w:color="auto"/>
      </w:divBdr>
    </w:div>
    <w:div w:id="1870101003">
      <w:bodyDiv w:val="1"/>
      <w:marLeft w:val="0"/>
      <w:marRight w:val="0"/>
      <w:marTop w:val="0"/>
      <w:marBottom w:val="0"/>
      <w:divBdr>
        <w:top w:val="none" w:sz="0" w:space="0" w:color="auto"/>
        <w:left w:val="none" w:sz="0" w:space="0" w:color="auto"/>
        <w:bottom w:val="none" w:sz="0" w:space="0" w:color="auto"/>
        <w:right w:val="none" w:sz="0" w:space="0" w:color="auto"/>
      </w:divBdr>
    </w:div>
    <w:div w:id="1896702034">
      <w:bodyDiv w:val="1"/>
      <w:marLeft w:val="0"/>
      <w:marRight w:val="0"/>
      <w:marTop w:val="0"/>
      <w:marBottom w:val="0"/>
      <w:divBdr>
        <w:top w:val="none" w:sz="0" w:space="0" w:color="auto"/>
        <w:left w:val="none" w:sz="0" w:space="0" w:color="auto"/>
        <w:bottom w:val="none" w:sz="0" w:space="0" w:color="auto"/>
        <w:right w:val="none" w:sz="0" w:space="0" w:color="auto"/>
      </w:divBdr>
    </w:div>
    <w:div w:id="1935743270">
      <w:bodyDiv w:val="1"/>
      <w:marLeft w:val="0"/>
      <w:marRight w:val="0"/>
      <w:marTop w:val="0"/>
      <w:marBottom w:val="0"/>
      <w:divBdr>
        <w:top w:val="none" w:sz="0" w:space="0" w:color="auto"/>
        <w:left w:val="none" w:sz="0" w:space="0" w:color="auto"/>
        <w:bottom w:val="none" w:sz="0" w:space="0" w:color="auto"/>
        <w:right w:val="none" w:sz="0" w:space="0" w:color="auto"/>
      </w:divBdr>
    </w:div>
    <w:div w:id="1962953196">
      <w:bodyDiv w:val="1"/>
      <w:marLeft w:val="0"/>
      <w:marRight w:val="0"/>
      <w:marTop w:val="0"/>
      <w:marBottom w:val="0"/>
      <w:divBdr>
        <w:top w:val="none" w:sz="0" w:space="0" w:color="auto"/>
        <w:left w:val="none" w:sz="0" w:space="0" w:color="auto"/>
        <w:bottom w:val="none" w:sz="0" w:space="0" w:color="auto"/>
        <w:right w:val="none" w:sz="0" w:space="0" w:color="auto"/>
      </w:divBdr>
    </w:div>
    <w:div w:id="2034767875">
      <w:bodyDiv w:val="1"/>
      <w:marLeft w:val="0"/>
      <w:marRight w:val="0"/>
      <w:marTop w:val="0"/>
      <w:marBottom w:val="0"/>
      <w:divBdr>
        <w:top w:val="none" w:sz="0" w:space="0" w:color="auto"/>
        <w:left w:val="none" w:sz="0" w:space="0" w:color="auto"/>
        <w:bottom w:val="none" w:sz="0" w:space="0" w:color="auto"/>
        <w:right w:val="none" w:sz="0" w:space="0" w:color="auto"/>
      </w:divBdr>
    </w:div>
    <w:div w:id="2042824117">
      <w:bodyDiv w:val="1"/>
      <w:marLeft w:val="0"/>
      <w:marRight w:val="0"/>
      <w:marTop w:val="0"/>
      <w:marBottom w:val="0"/>
      <w:divBdr>
        <w:top w:val="none" w:sz="0" w:space="0" w:color="auto"/>
        <w:left w:val="none" w:sz="0" w:space="0" w:color="auto"/>
        <w:bottom w:val="none" w:sz="0" w:space="0" w:color="auto"/>
        <w:right w:val="none" w:sz="0" w:space="0" w:color="auto"/>
      </w:divBdr>
    </w:div>
    <w:div w:id="2101296163">
      <w:bodyDiv w:val="1"/>
      <w:marLeft w:val="0"/>
      <w:marRight w:val="0"/>
      <w:marTop w:val="0"/>
      <w:marBottom w:val="0"/>
      <w:divBdr>
        <w:top w:val="none" w:sz="0" w:space="0" w:color="auto"/>
        <w:left w:val="none" w:sz="0" w:space="0" w:color="auto"/>
        <w:bottom w:val="none" w:sz="0" w:space="0" w:color="auto"/>
        <w:right w:val="none" w:sz="0" w:space="0" w:color="auto"/>
      </w:divBdr>
    </w:div>
    <w:div w:id="21079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Harder</dc:creator>
  <cp:keywords/>
  <dc:description/>
  <cp:lastModifiedBy>Natalie Harder</cp:lastModifiedBy>
  <cp:revision>2</cp:revision>
  <dcterms:created xsi:type="dcterms:W3CDTF">2021-04-30T15:06:00Z</dcterms:created>
  <dcterms:modified xsi:type="dcterms:W3CDTF">2021-04-30T15:06:00Z</dcterms:modified>
</cp:coreProperties>
</file>