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7B2C" w14:textId="4CCFE572" w:rsidR="00E00339" w:rsidRPr="000370A8" w:rsidRDefault="00E00339" w:rsidP="00E00339">
      <w:pPr>
        <w:spacing w:before="360" w:line="454" w:lineRule="exact"/>
        <w:rPr>
          <w:b/>
          <w:noProof/>
          <w:position w:val="6"/>
          <w:sz w:val="42"/>
          <w:szCs w:val="42"/>
        </w:rPr>
      </w:pPr>
      <w:r>
        <w:rPr>
          <w:noProof/>
          <w:sz w:val="20"/>
          <w:szCs w:val="20"/>
        </w:rPr>
        <w:drawing>
          <wp:anchor distT="0" distB="0" distL="114300" distR="114300" simplePos="0" relativeHeight="251659264" behindDoc="0" locked="0" layoutInCell="1" allowOverlap="1" wp14:anchorId="4F007B5C" wp14:editId="4F007B5D">
            <wp:simplePos x="0" y="0"/>
            <wp:positionH relativeFrom="column">
              <wp:posOffset>5305425</wp:posOffset>
            </wp:positionH>
            <wp:positionV relativeFrom="paragraph">
              <wp:posOffset>-428625</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665">
        <w:rPr>
          <w:b/>
          <w:noProof/>
          <w:position w:val="6"/>
          <w:sz w:val="42"/>
          <w:szCs w:val="42"/>
        </w:rPr>
        <w:t xml:space="preserve">USGR </w:t>
      </w:r>
      <w:r w:rsidRPr="000370A8">
        <w:rPr>
          <w:b/>
          <w:noProof/>
          <w:position w:val="6"/>
          <w:sz w:val="42"/>
          <w:szCs w:val="42"/>
        </w:rPr>
        <w:t>Memo</w:t>
      </w:r>
    </w:p>
    <w:tbl>
      <w:tblPr>
        <w:tblW w:w="9249" w:type="dxa"/>
        <w:jc w:val="center"/>
        <w:tblLayout w:type="fixed"/>
        <w:tblCellMar>
          <w:left w:w="0" w:type="dxa"/>
          <w:right w:w="0" w:type="dxa"/>
        </w:tblCellMar>
        <w:tblLook w:val="0000" w:firstRow="0" w:lastRow="0" w:firstColumn="0" w:lastColumn="0" w:noHBand="0" w:noVBand="0"/>
      </w:tblPr>
      <w:tblGrid>
        <w:gridCol w:w="1115"/>
        <w:gridCol w:w="8114"/>
        <w:gridCol w:w="20"/>
      </w:tblGrid>
      <w:tr w:rsidR="00E00339" w:rsidRPr="006124CA" w14:paraId="4F007B30" w14:textId="77777777" w:rsidTr="00863915">
        <w:trPr>
          <w:trHeight w:val="489"/>
          <w:jc w:val="center"/>
        </w:trPr>
        <w:tc>
          <w:tcPr>
            <w:tcW w:w="1115" w:type="dxa"/>
            <w:tcBorders>
              <w:top w:val="single" w:sz="6" w:space="0" w:color="auto"/>
            </w:tcBorders>
          </w:tcPr>
          <w:p w14:paraId="4F007B2D" w14:textId="77777777" w:rsidR="00E00339" w:rsidRPr="006124CA" w:rsidRDefault="00E00339" w:rsidP="00863915">
            <w:pPr>
              <w:spacing w:before="60" w:line="280" w:lineRule="exact"/>
              <w:rPr>
                <w:noProof/>
                <w:sz w:val="24"/>
                <w:szCs w:val="24"/>
              </w:rPr>
            </w:pPr>
            <w:r w:rsidRPr="006124CA">
              <w:rPr>
                <w:noProof/>
                <w:sz w:val="24"/>
                <w:szCs w:val="24"/>
              </w:rPr>
              <w:t>To:</w:t>
            </w:r>
          </w:p>
        </w:tc>
        <w:tc>
          <w:tcPr>
            <w:tcW w:w="8114" w:type="dxa"/>
            <w:tcBorders>
              <w:top w:val="single" w:sz="6" w:space="0" w:color="auto"/>
            </w:tcBorders>
          </w:tcPr>
          <w:p w14:paraId="4F007B2E" w14:textId="139EAEA6" w:rsidR="00E00339" w:rsidRPr="006124CA" w:rsidRDefault="00863915" w:rsidP="00863915">
            <w:pPr>
              <w:tabs>
                <w:tab w:val="left" w:pos="1134"/>
                <w:tab w:val="left" w:pos="2268"/>
                <w:tab w:val="left" w:pos="3402"/>
                <w:tab w:val="left" w:pos="4536"/>
                <w:tab w:val="left" w:pos="5670"/>
                <w:tab w:val="left" w:pos="6804"/>
                <w:tab w:val="left" w:pos="7938"/>
              </w:tabs>
              <w:spacing w:before="60" w:line="280" w:lineRule="exact"/>
              <w:ind w:left="117"/>
              <w:rPr>
                <w:noProof/>
                <w:sz w:val="24"/>
                <w:szCs w:val="24"/>
              </w:rPr>
            </w:pPr>
            <w:r>
              <w:rPr>
                <w:noProof/>
                <w:sz w:val="24"/>
                <w:szCs w:val="24"/>
              </w:rPr>
              <w:t>USGR</w:t>
            </w:r>
          </w:p>
        </w:tc>
        <w:tc>
          <w:tcPr>
            <w:tcW w:w="20" w:type="dxa"/>
            <w:tcBorders>
              <w:top w:val="single" w:sz="6" w:space="0" w:color="auto"/>
            </w:tcBorders>
          </w:tcPr>
          <w:p w14:paraId="4F007B2F" w14:textId="77777777" w:rsidR="00E00339" w:rsidRPr="006124CA" w:rsidRDefault="00E00339" w:rsidP="00863915">
            <w:pPr>
              <w:spacing w:before="60" w:line="280" w:lineRule="exact"/>
              <w:rPr>
                <w:noProof/>
                <w:sz w:val="24"/>
                <w:szCs w:val="24"/>
              </w:rPr>
            </w:pPr>
          </w:p>
        </w:tc>
      </w:tr>
      <w:tr w:rsidR="00E00339" w:rsidRPr="006124CA" w14:paraId="4F007B34" w14:textId="77777777" w:rsidTr="00863915">
        <w:trPr>
          <w:trHeight w:val="489"/>
          <w:jc w:val="center"/>
        </w:trPr>
        <w:tc>
          <w:tcPr>
            <w:tcW w:w="1115" w:type="dxa"/>
            <w:tcBorders>
              <w:top w:val="single" w:sz="6" w:space="0" w:color="auto"/>
            </w:tcBorders>
          </w:tcPr>
          <w:p w14:paraId="4F007B31" w14:textId="77777777" w:rsidR="00E00339" w:rsidRPr="006124CA" w:rsidRDefault="00E00339" w:rsidP="00863915">
            <w:pPr>
              <w:spacing w:before="60" w:line="280" w:lineRule="exact"/>
              <w:rPr>
                <w:noProof/>
                <w:sz w:val="24"/>
                <w:szCs w:val="24"/>
              </w:rPr>
            </w:pPr>
            <w:r w:rsidRPr="006124CA">
              <w:rPr>
                <w:noProof/>
                <w:sz w:val="24"/>
                <w:szCs w:val="24"/>
              </w:rPr>
              <w:t>From:</w:t>
            </w:r>
          </w:p>
        </w:tc>
        <w:tc>
          <w:tcPr>
            <w:tcW w:w="8114" w:type="dxa"/>
            <w:tcBorders>
              <w:top w:val="single" w:sz="6" w:space="0" w:color="auto"/>
            </w:tcBorders>
          </w:tcPr>
          <w:p w14:paraId="4F007B32" w14:textId="499ED65E" w:rsidR="00E00339" w:rsidRPr="006124CA" w:rsidRDefault="00863915" w:rsidP="00863915">
            <w:pPr>
              <w:tabs>
                <w:tab w:val="left" w:pos="1134"/>
                <w:tab w:val="left" w:pos="2268"/>
                <w:tab w:val="left" w:pos="3402"/>
                <w:tab w:val="left" w:pos="4536"/>
                <w:tab w:val="left" w:pos="5670"/>
                <w:tab w:val="left" w:pos="6804"/>
                <w:tab w:val="left" w:pos="7938"/>
              </w:tabs>
              <w:spacing w:before="60" w:line="280" w:lineRule="exact"/>
              <w:rPr>
                <w:noProof/>
                <w:sz w:val="24"/>
                <w:szCs w:val="24"/>
              </w:rPr>
            </w:pPr>
            <w:r>
              <w:rPr>
                <w:noProof/>
                <w:sz w:val="24"/>
                <w:szCs w:val="24"/>
              </w:rPr>
              <w:t xml:space="preserve">  Olivia Valone</w:t>
            </w:r>
          </w:p>
        </w:tc>
        <w:tc>
          <w:tcPr>
            <w:tcW w:w="20" w:type="dxa"/>
            <w:tcBorders>
              <w:top w:val="single" w:sz="6" w:space="0" w:color="auto"/>
            </w:tcBorders>
          </w:tcPr>
          <w:p w14:paraId="4F007B33" w14:textId="77777777" w:rsidR="00E00339" w:rsidRPr="006124CA" w:rsidRDefault="00E00339" w:rsidP="00863915">
            <w:pPr>
              <w:spacing w:before="60" w:line="280" w:lineRule="exact"/>
              <w:rPr>
                <w:noProof/>
                <w:sz w:val="24"/>
                <w:szCs w:val="24"/>
              </w:rPr>
            </w:pPr>
          </w:p>
        </w:tc>
      </w:tr>
      <w:tr w:rsidR="00E00339" w:rsidRPr="006124CA" w14:paraId="4F007B38" w14:textId="77777777" w:rsidTr="00863915">
        <w:trPr>
          <w:trHeight w:val="489"/>
          <w:jc w:val="center"/>
        </w:trPr>
        <w:tc>
          <w:tcPr>
            <w:tcW w:w="1115" w:type="dxa"/>
            <w:tcBorders>
              <w:top w:val="single" w:sz="6" w:space="0" w:color="auto"/>
            </w:tcBorders>
          </w:tcPr>
          <w:p w14:paraId="4F007B35" w14:textId="77777777" w:rsidR="00E00339" w:rsidRPr="006124CA" w:rsidRDefault="00E00339" w:rsidP="00863915">
            <w:pPr>
              <w:spacing w:before="60" w:line="280" w:lineRule="exact"/>
              <w:rPr>
                <w:noProof/>
                <w:sz w:val="24"/>
                <w:szCs w:val="24"/>
              </w:rPr>
            </w:pPr>
            <w:r w:rsidRPr="006124CA">
              <w:rPr>
                <w:noProof/>
                <w:sz w:val="24"/>
                <w:szCs w:val="24"/>
              </w:rPr>
              <w:t>Date:</w:t>
            </w:r>
          </w:p>
        </w:tc>
        <w:tc>
          <w:tcPr>
            <w:tcW w:w="8114" w:type="dxa"/>
            <w:tcBorders>
              <w:top w:val="single" w:sz="6" w:space="0" w:color="auto"/>
            </w:tcBorders>
          </w:tcPr>
          <w:p w14:paraId="4F007B36" w14:textId="30E7208A" w:rsidR="00E00339" w:rsidRPr="006124CA" w:rsidRDefault="00863915" w:rsidP="00863915">
            <w:pPr>
              <w:tabs>
                <w:tab w:val="left" w:pos="1134"/>
                <w:tab w:val="left" w:pos="2268"/>
                <w:tab w:val="left" w:pos="3402"/>
                <w:tab w:val="left" w:pos="4536"/>
                <w:tab w:val="left" w:pos="5670"/>
                <w:tab w:val="left" w:pos="6804"/>
                <w:tab w:val="left" w:pos="7938"/>
              </w:tabs>
              <w:spacing w:before="60" w:line="280" w:lineRule="exact"/>
              <w:rPr>
                <w:noProof/>
                <w:sz w:val="24"/>
                <w:szCs w:val="24"/>
              </w:rPr>
            </w:pPr>
            <w:r>
              <w:rPr>
                <w:noProof/>
                <w:sz w:val="24"/>
                <w:szCs w:val="24"/>
              </w:rPr>
              <w:t xml:space="preserve">  Thursday, March 22, 2018</w:t>
            </w:r>
          </w:p>
        </w:tc>
        <w:tc>
          <w:tcPr>
            <w:tcW w:w="20" w:type="dxa"/>
            <w:tcBorders>
              <w:top w:val="single" w:sz="6" w:space="0" w:color="auto"/>
            </w:tcBorders>
          </w:tcPr>
          <w:p w14:paraId="4F007B37" w14:textId="77777777" w:rsidR="00E00339" w:rsidRPr="006124CA" w:rsidRDefault="00E00339" w:rsidP="00863915">
            <w:pPr>
              <w:spacing w:before="60" w:line="280" w:lineRule="exact"/>
              <w:rPr>
                <w:noProof/>
                <w:sz w:val="24"/>
                <w:szCs w:val="24"/>
              </w:rPr>
            </w:pPr>
          </w:p>
        </w:tc>
      </w:tr>
      <w:tr w:rsidR="00E00339" w:rsidRPr="006124CA" w14:paraId="4F007B3C" w14:textId="77777777" w:rsidTr="00863915">
        <w:trPr>
          <w:trHeight w:val="795"/>
          <w:jc w:val="center"/>
        </w:trPr>
        <w:tc>
          <w:tcPr>
            <w:tcW w:w="1115" w:type="dxa"/>
            <w:tcBorders>
              <w:top w:val="single" w:sz="6" w:space="0" w:color="auto"/>
            </w:tcBorders>
          </w:tcPr>
          <w:p w14:paraId="4F007B39" w14:textId="77777777" w:rsidR="00E00339" w:rsidRPr="006124CA" w:rsidRDefault="00E00339" w:rsidP="00863915">
            <w:pPr>
              <w:spacing w:before="60" w:line="280" w:lineRule="exact"/>
              <w:rPr>
                <w:noProof/>
                <w:sz w:val="24"/>
                <w:szCs w:val="24"/>
              </w:rPr>
            </w:pPr>
            <w:r w:rsidRPr="006124CA">
              <w:rPr>
                <w:noProof/>
                <w:sz w:val="24"/>
                <w:szCs w:val="24"/>
              </w:rPr>
              <w:t>Subject:</w:t>
            </w:r>
          </w:p>
        </w:tc>
        <w:tc>
          <w:tcPr>
            <w:tcW w:w="8114" w:type="dxa"/>
            <w:tcBorders>
              <w:top w:val="single" w:sz="6" w:space="0" w:color="auto"/>
            </w:tcBorders>
          </w:tcPr>
          <w:p w14:paraId="4F007B3A" w14:textId="1097B25C" w:rsidR="00E00339" w:rsidRPr="006124CA" w:rsidRDefault="00863915" w:rsidP="00863915">
            <w:pPr>
              <w:tabs>
                <w:tab w:val="left" w:pos="1134"/>
                <w:tab w:val="left" w:pos="2268"/>
                <w:tab w:val="left" w:pos="3402"/>
                <w:tab w:val="left" w:pos="4536"/>
                <w:tab w:val="left" w:pos="5670"/>
                <w:tab w:val="left" w:pos="6804"/>
                <w:tab w:val="left" w:pos="7938"/>
              </w:tabs>
              <w:spacing w:before="60" w:line="280" w:lineRule="exact"/>
              <w:ind w:left="117"/>
              <w:rPr>
                <w:noProof/>
                <w:sz w:val="24"/>
                <w:szCs w:val="24"/>
              </w:rPr>
            </w:pPr>
            <w:r>
              <w:rPr>
                <w:noProof/>
                <w:sz w:val="24"/>
                <w:szCs w:val="24"/>
              </w:rPr>
              <w:t>Mike Pompeo Environmental Record</w:t>
            </w:r>
          </w:p>
        </w:tc>
        <w:tc>
          <w:tcPr>
            <w:tcW w:w="20" w:type="dxa"/>
            <w:tcBorders>
              <w:top w:val="single" w:sz="6" w:space="0" w:color="auto"/>
            </w:tcBorders>
          </w:tcPr>
          <w:p w14:paraId="4F007B3B" w14:textId="77777777" w:rsidR="00E00339" w:rsidRPr="006124CA" w:rsidRDefault="00E00339" w:rsidP="00863915">
            <w:pPr>
              <w:spacing w:before="60" w:line="280" w:lineRule="exact"/>
              <w:rPr>
                <w:noProof/>
                <w:sz w:val="24"/>
                <w:szCs w:val="24"/>
              </w:rPr>
            </w:pPr>
          </w:p>
        </w:tc>
      </w:tr>
    </w:tbl>
    <w:p w14:paraId="4F007B3D" w14:textId="77777777" w:rsidR="00E00339" w:rsidRPr="009E2FD8" w:rsidRDefault="00E00339" w:rsidP="00E00339">
      <w:pPr>
        <w:pStyle w:val="NoSpacing"/>
        <w:rPr>
          <w:sz w:val="20"/>
          <w:szCs w:val="24"/>
        </w:rPr>
      </w:pPr>
    </w:p>
    <w:p w14:paraId="1FDAFACB" w14:textId="308CB16A" w:rsidR="00B11E42" w:rsidRDefault="003D4163" w:rsidP="00E00339">
      <w:pPr>
        <w:pStyle w:val="NoSpacing"/>
        <w:rPr>
          <w:sz w:val="24"/>
          <w:szCs w:val="24"/>
        </w:rPr>
      </w:pPr>
      <w:r>
        <w:rPr>
          <w:sz w:val="24"/>
          <w:szCs w:val="24"/>
        </w:rPr>
        <w:t>Representing Kansas’ 4</w:t>
      </w:r>
      <w:r w:rsidRPr="003D4163">
        <w:rPr>
          <w:sz w:val="24"/>
          <w:szCs w:val="24"/>
          <w:vertAlign w:val="superscript"/>
        </w:rPr>
        <w:t>th</w:t>
      </w:r>
      <w:r>
        <w:rPr>
          <w:sz w:val="24"/>
          <w:szCs w:val="24"/>
        </w:rPr>
        <w:t xml:space="preserve"> district, Mike Pompeo held office in the U.S. House of Representatives from January 3, 2011 until January 23, 2017, when he assumed office as the Director of the Central Intelligence Agency. On March 13, 2018, President Donald Trump announced Pompeo as the intended nominee to replace former Secretary of State Rex Tillerson. </w:t>
      </w:r>
      <w:r w:rsidR="00A97DFB">
        <w:rPr>
          <w:sz w:val="24"/>
          <w:szCs w:val="24"/>
        </w:rPr>
        <w:t>His</w:t>
      </w:r>
      <w:r w:rsidR="006F068A">
        <w:rPr>
          <w:sz w:val="24"/>
          <w:szCs w:val="24"/>
        </w:rPr>
        <w:t xml:space="preserve"> dismal environmental voting rec</w:t>
      </w:r>
      <w:r w:rsidR="00A97DFB">
        <w:rPr>
          <w:sz w:val="24"/>
          <w:szCs w:val="24"/>
        </w:rPr>
        <w:t>ord,</w:t>
      </w:r>
      <w:r w:rsidR="006F068A">
        <w:rPr>
          <w:sz w:val="24"/>
          <w:szCs w:val="24"/>
        </w:rPr>
        <w:t xml:space="preserve"> ties to oil and natural gas producers, </w:t>
      </w:r>
      <w:r w:rsidR="00A97DFB">
        <w:rPr>
          <w:sz w:val="24"/>
          <w:szCs w:val="24"/>
        </w:rPr>
        <w:t xml:space="preserve">and expressed skepticism of the science of climate change has caused many environmental activists to expect less support than under former ExxonMobil CEO Rex </w:t>
      </w:r>
      <w:proofErr w:type="spellStart"/>
      <w:r w:rsidR="00A97DFB">
        <w:rPr>
          <w:sz w:val="24"/>
          <w:szCs w:val="24"/>
        </w:rPr>
        <w:t>Tillerson</w:t>
      </w:r>
      <w:proofErr w:type="spellEnd"/>
      <w:r w:rsidR="00A97DFB">
        <w:rPr>
          <w:sz w:val="24"/>
          <w:szCs w:val="24"/>
        </w:rPr>
        <w:t>. Climate change and environmental security, however, were discussed the Intelligence Community’s 2018 Worldwide Threat Assessment, which might indicate his changing perspective on key environmental issues.</w:t>
      </w:r>
    </w:p>
    <w:p w14:paraId="2F096451" w14:textId="77777777" w:rsidR="00A97DFB" w:rsidRDefault="00A97DFB" w:rsidP="00E00339">
      <w:pPr>
        <w:pStyle w:val="NoSpacing"/>
        <w:rPr>
          <w:b/>
          <w:sz w:val="24"/>
          <w:szCs w:val="24"/>
          <w:u w:val="single"/>
        </w:rPr>
      </w:pPr>
    </w:p>
    <w:p w14:paraId="4F007B40" w14:textId="77777777" w:rsidR="00E00339" w:rsidRDefault="00E00339" w:rsidP="00E00339">
      <w:pPr>
        <w:pStyle w:val="NoSpacing"/>
        <w:rPr>
          <w:sz w:val="24"/>
          <w:szCs w:val="24"/>
        </w:rPr>
      </w:pPr>
      <w:r>
        <w:rPr>
          <w:b/>
          <w:sz w:val="24"/>
          <w:szCs w:val="24"/>
          <w:u w:val="single"/>
        </w:rPr>
        <w:t>Highlights</w:t>
      </w:r>
    </w:p>
    <w:p w14:paraId="4F007B41" w14:textId="77777777" w:rsidR="00E00339" w:rsidRDefault="00E00339" w:rsidP="00E00339">
      <w:pPr>
        <w:pStyle w:val="NoSpacing"/>
        <w:ind w:left="720"/>
        <w:rPr>
          <w:sz w:val="24"/>
          <w:szCs w:val="24"/>
        </w:rPr>
      </w:pPr>
    </w:p>
    <w:p w14:paraId="4F007B42" w14:textId="5B518938" w:rsidR="00E00339" w:rsidRDefault="00E00339" w:rsidP="00E00339">
      <w:pPr>
        <w:pStyle w:val="NoSpacing"/>
        <w:numPr>
          <w:ilvl w:val="0"/>
          <w:numId w:val="5"/>
        </w:numPr>
        <w:rPr>
          <w:sz w:val="24"/>
          <w:szCs w:val="24"/>
        </w:rPr>
      </w:pPr>
      <w:r>
        <w:rPr>
          <w:sz w:val="24"/>
          <w:szCs w:val="24"/>
        </w:rPr>
        <w:t xml:space="preserve"> </w:t>
      </w:r>
      <w:r w:rsidR="00A13986">
        <w:rPr>
          <w:sz w:val="24"/>
          <w:szCs w:val="24"/>
        </w:rPr>
        <w:t xml:space="preserve">The League of Conservation Voters (LCV) gives Mike Pompeo a LCV lifetime score of </w:t>
      </w:r>
      <w:r w:rsidR="00A13986" w:rsidRPr="00A13986">
        <w:rPr>
          <w:b/>
          <w:sz w:val="24"/>
          <w:szCs w:val="24"/>
        </w:rPr>
        <w:t>4%</w:t>
      </w:r>
      <w:r w:rsidR="00A13986">
        <w:rPr>
          <w:sz w:val="24"/>
          <w:szCs w:val="24"/>
        </w:rPr>
        <w:t xml:space="preserve"> for his career as U.S. Representative from 2011 to 2017. He voted pro-environment only eight times in 269 instances. His voting history reflects a questioning of the science of climate change and a lack of support for environmental causes in general, including biodiversity and species endangerment. In the eight instances</w:t>
      </w:r>
      <w:r w:rsidR="00523837">
        <w:rPr>
          <w:sz w:val="24"/>
          <w:szCs w:val="24"/>
        </w:rPr>
        <w:t>, his pro-environmental votes reflect his interest in defending agriculture and the tax-payer</w:t>
      </w:r>
      <w:r w:rsidR="00A13986">
        <w:rPr>
          <w:sz w:val="24"/>
          <w:szCs w:val="24"/>
        </w:rPr>
        <w:t xml:space="preserve">. </w:t>
      </w:r>
    </w:p>
    <w:p w14:paraId="4F007B44" w14:textId="1489BFC0" w:rsidR="00E00339" w:rsidRPr="00A97DFB" w:rsidRDefault="00E00339" w:rsidP="00A97DFB">
      <w:pPr>
        <w:pStyle w:val="NoSpacing"/>
        <w:numPr>
          <w:ilvl w:val="0"/>
          <w:numId w:val="5"/>
        </w:numPr>
        <w:rPr>
          <w:sz w:val="24"/>
          <w:szCs w:val="24"/>
        </w:rPr>
      </w:pPr>
      <w:r>
        <w:rPr>
          <w:sz w:val="24"/>
          <w:szCs w:val="24"/>
        </w:rPr>
        <w:t xml:space="preserve"> </w:t>
      </w:r>
      <w:r w:rsidR="002A11DF">
        <w:rPr>
          <w:sz w:val="24"/>
          <w:szCs w:val="24"/>
        </w:rPr>
        <w:t>The Worldwide Threat Assessment of the U.S. Intelligence Committee, released under the direction of Pompeo in February of 2018, outlines environmental challenges as one of the key threats in the current and near future</w:t>
      </w:r>
      <w:r w:rsidR="00240863">
        <w:rPr>
          <w:sz w:val="24"/>
          <w:szCs w:val="24"/>
        </w:rPr>
        <w:t>. C</w:t>
      </w:r>
      <w:r w:rsidR="002A11DF">
        <w:rPr>
          <w:sz w:val="24"/>
          <w:szCs w:val="24"/>
        </w:rPr>
        <w:t>limate change</w:t>
      </w:r>
      <w:r w:rsidR="00240863">
        <w:rPr>
          <w:sz w:val="24"/>
          <w:szCs w:val="24"/>
        </w:rPr>
        <w:t xml:space="preserve"> is explicitly named</w:t>
      </w:r>
      <w:r w:rsidR="002A11DF">
        <w:rPr>
          <w:sz w:val="24"/>
          <w:szCs w:val="24"/>
        </w:rPr>
        <w:t xml:space="preserve"> as a challenge to human security</w:t>
      </w:r>
      <w:r w:rsidR="00240863">
        <w:rPr>
          <w:sz w:val="24"/>
          <w:szCs w:val="24"/>
        </w:rPr>
        <w:t>,</w:t>
      </w:r>
      <w:r w:rsidR="002A11DF">
        <w:rPr>
          <w:sz w:val="24"/>
          <w:szCs w:val="24"/>
        </w:rPr>
        <w:t xml:space="preserve"> </w:t>
      </w:r>
      <w:r w:rsidR="00240863">
        <w:rPr>
          <w:sz w:val="24"/>
          <w:szCs w:val="24"/>
        </w:rPr>
        <w:t>catalyzing migration,</w:t>
      </w:r>
      <w:r w:rsidR="002A11DF">
        <w:rPr>
          <w:sz w:val="24"/>
          <w:szCs w:val="24"/>
        </w:rPr>
        <w:t xml:space="preserve"> biodiversity loss</w:t>
      </w:r>
      <w:r w:rsidR="00240863">
        <w:rPr>
          <w:sz w:val="24"/>
          <w:szCs w:val="24"/>
        </w:rPr>
        <w:t>,</w:t>
      </w:r>
      <w:r w:rsidR="002A11DF">
        <w:rPr>
          <w:sz w:val="24"/>
          <w:szCs w:val="24"/>
        </w:rPr>
        <w:t xml:space="preserve"> and water scarcity.</w:t>
      </w:r>
      <w:r w:rsidR="00240863">
        <w:rPr>
          <w:sz w:val="24"/>
          <w:szCs w:val="24"/>
        </w:rPr>
        <w:t xml:space="preserve"> Transnational criminal groups are also named as a threat to ecological integrity.</w:t>
      </w:r>
    </w:p>
    <w:p w14:paraId="4F007B45" w14:textId="77777777" w:rsidR="00E00339" w:rsidRDefault="00E00339" w:rsidP="00E00339">
      <w:pPr>
        <w:pStyle w:val="NoSpacing"/>
        <w:rPr>
          <w:sz w:val="24"/>
          <w:szCs w:val="24"/>
        </w:rPr>
      </w:pPr>
    </w:p>
    <w:p w14:paraId="4F007B46" w14:textId="77777777" w:rsidR="00E00339" w:rsidRDefault="00E00339" w:rsidP="00E00339">
      <w:pPr>
        <w:pStyle w:val="NoSpacing"/>
        <w:rPr>
          <w:sz w:val="24"/>
          <w:szCs w:val="24"/>
        </w:rPr>
      </w:pPr>
      <w:r>
        <w:rPr>
          <w:b/>
          <w:sz w:val="24"/>
          <w:szCs w:val="24"/>
          <w:u w:val="single"/>
        </w:rPr>
        <w:t>Noteworthy Details</w:t>
      </w:r>
    </w:p>
    <w:p w14:paraId="4F007B47" w14:textId="77777777" w:rsidR="00E00339" w:rsidRDefault="00E00339" w:rsidP="00E00339">
      <w:pPr>
        <w:pStyle w:val="NoSpacing"/>
        <w:rPr>
          <w:sz w:val="24"/>
          <w:szCs w:val="24"/>
        </w:rPr>
      </w:pPr>
    </w:p>
    <w:p w14:paraId="4F007B48" w14:textId="7D1921E5" w:rsidR="00E00339" w:rsidRDefault="00E00339" w:rsidP="00E00339">
      <w:pPr>
        <w:pStyle w:val="NoSpacing"/>
        <w:rPr>
          <w:sz w:val="24"/>
          <w:szCs w:val="24"/>
        </w:rPr>
      </w:pPr>
      <w:r>
        <w:rPr>
          <w:sz w:val="24"/>
          <w:szCs w:val="24"/>
        </w:rPr>
        <w:t>1.</w:t>
      </w:r>
      <w:r>
        <w:rPr>
          <w:sz w:val="24"/>
          <w:szCs w:val="24"/>
        </w:rPr>
        <w:tab/>
      </w:r>
      <w:r w:rsidR="0007003B">
        <w:rPr>
          <w:sz w:val="24"/>
          <w:szCs w:val="24"/>
        </w:rPr>
        <w:t xml:space="preserve">Anti-Environmental History: </w:t>
      </w:r>
      <w:r w:rsidR="00A13986">
        <w:rPr>
          <w:sz w:val="24"/>
          <w:szCs w:val="24"/>
        </w:rPr>
        <w:t>Questioning the Science of Climate Change</w:t>
      </w:r>
    </w:p>
    <w:p w14:paraId="4F007B49" w14:textId="77777777" w:rsidR="00E00339" w:rsidRDefault="00E00339" w:rsidP="00E00339">
      <w:pPr>
        <w:pStyle w:val="NoSpacing"/>
        <w:rPr>
          <w:sz w:val="24"/>
          <w:szCs w:val="24"/>
        </w:rPr>
      </w:pPr>
    </w:p>
    <w:p w14:paraId="3CDDAE6F" w14:textId="1D8F8EFE" w:rsidR="00C0723F" w:rsidRDefault="00A13986" w:rsidP="00F950F0">
      <w:pPr>
        <w:pStyle w:val="NoSpacing"/>
        <w:numPr>
          <w:ilvl w:val="0"/>
          <w:numId w:val="2"/>
        </w:numPr>
        <w:rPr>
          <w:sz w:val="24"/>
          <w:szCs w:val="24"/>
        </w:rPr>
      </w:pPr>
      <w:r>
        <w:rPr>
          <w:sz w:val="24"/>
          <w:szCs w:val="24"/>
        </w:rPr>
        <w:t>According to the data from the LCV, Pompeo voted anti-environment on all legislation concerning the issue of</w:t>
      </w:r>
      <w:r w:rsidR="007B7B02">
        <w:rPr>
          <w:sz w:val="24"/>
          <w:szCs w:val="24"/>
        </w:rPr>
        <w:t xml:space="preserve"> climate change. Pompeo is known as a long-time opponent of the EPA and its ag</w:t>
      </w:r>
      <w:r w:rsidR="00EF3779">
        <w:rPr>
          <w:sz w:val="24"/>
          <w:szCs w:val="24"/>
        </w:rPr>
        <w:t>enda to limit greenhouse gas em</w:t>
      </w:r>
      <w:r w:rsidR="007B7B02">
        <w:rPr>
          <w:sz w:val="24"/>
          <w:szCs w:val="24"/>
        </w:rPr>
        <w:t>issions, having authored two House-passed amendments to drastically reduce funding for the greenhouse gas reg</w:t>
      </w:r>
      <w:r w:rsidR="00EF3779">
        <w:rPr>
          <w:sz w:val="24"/>
          <w:szCs w:val="24"/>
        </w:rPr>
        <w:t>istry.</w:t>
      </w:r>
      <w:r w:rsidR="003818C1">
        <w:rPr>
          <w:sz w:val="24"/>
          <w:szCs w:val="24"/>
        </w:rPr>
        <w:t xml:space="preserve"> He served on the U.S. House Committee on Energy and Commerce, as well as the House Energy </w:t>
      </w:r>
      <w:r w:rsidR="003818C1">
        <w:rPr>
          <w:sz w:val="24"/>
          <w:szCs w:val="24"/>
        </w:rPr>
        <w:lastRenderedPageBreak/>
        <w:t xml:space="preserve">Subcommittee on Energy, where he tried to roll back on </w:t>
      </w:r>
      <w:r w:rsidR="0007003B">
        <w:rPr>
          <w:sz w:val="24"/>
          <w:szCs w:val="24"/>
        </w:rPr>
        <w:t>environmentally-friendly</w:t>
      </w:r>
      <w:r w:rsidR="003818C1">
        <w:rPr>
          <w:sz w:val="24"/>
          <w:szCs w:val="24"/>
        </w:rPr>
        <w:t xml:space="preserve"> regulations in</w:t>
      </w:r>
      <w:r w:rsidR="0007003B">
        <w:rPr>
          <w:sz w:val="24"/>
          <w:szCs w:val="24"/>
        </w:rPr>
        <w:t xml:space="preserve"> an expressed</w:t>
      </w:r>
      <w:r w:rsidR="003818C1">
        <w:rPr>
          <w:sz w:val="24"/>
          <w:szCs w:val="24"/>
        </w:rPr>
        <w:t xml:space="preserve"> support </w:t>
      </w:r>
      <w:r w:rsidR="0007003B">
        <w:rPr>
          <w:sz w:val="24"/>
          <w:szCs w:val="24"/>
        </w:rPr>
        <w:t xml:space="preserve">for </w:t>
      </w:r>
      <w:r w:rsidR="003818C1">
        <w:rPr>
          <w:sz w:val="24"/>
          <w:szCs w:val="24"/>
        </w:rPr>
        <w:t>agriculture</w:t>
      </w:r>
      <w:r w:rsidR="0007003B">
        <w:rPr>
          <w:sz w:val="24"/>
          <w:szCs w:val="24"/>
        </w:rPr>
        <w:t xml:space="preserve"> and national oil and natural-gas</w:t>
      </w:r>
      <w:r w:rsidR="003818C1">
        <w:rPr>
          <w:sz w:val="24"/>
          <w:szCs w:val="24"/>
        </w:rPr>
        <w:t xml:space="preserve">. </w:t>
      </w:r>
      <w:r w:rsidR="00B6148D">
        <w:rPr>
          <w:sz w:val="24"/>
          <w:szCs w:val="24"/>
        </w:rPr>
        <w:t xml:space="preserve">He sponsored four bills hat fall under the subject of environmental protection on </w:t>
      </w:r>
      <w:proofErr w:type="spellStart"/>
      <w:r w:rsidR="00B6148D">
        <w:rPr>
          <w:sz w:val="24"/>
          <w:szCs w:val="24"/>
        </w:rPr>
        <w:t>govtrack</w:t>
      </w:r>
      <w:proofErr w:type="spellEnd"/>
      <w:r w:rsidR="00B6148D">
        <w:rPr>
          <w:sz w:val="24"/>
          <w:szCs w:val="24"/>
        </w:rPr>
        <w:t xml:space="preserve">, </w:t>
      </w:r>
      <w:r w:rsidR="002972D8">
        <w:rPr>
          <w:sz w:val="24"/>
          <w:szCs w:val="24"/>
        </w:rPr>
        <w:t xml:space="preserve">each </w:t>
      </w:r>
      <w:r w:rsidR="00B6148D">
        <w:rPr>
          <w:sz w:val="24"/>
          <w:szCs w:val="24"/>
        </w:rPr>
        <w:t xml:space="preserve">reflecting an attempt to relax or remove EPA regulations regarding air pollution. </w:t>
      </w:r>
      <w:r w:rsidR="00EF3779">
        <w:rPr>
          <w:sz w:val="24"/>
          <w:szCs w:val="24"/>
        </w:rPr>
        <w:t>According to the Center for Responsive Politics, Pompeo is a top recipient of campaign donations from Koch In</w:t>
      </w:r>
      <w:r w:rsidR="003818C1">
        <w:rPr>
          <w:sz w:val="24"/>
          <w:szCs w:val="24"/>
        </w:rPr>
        <w:t>dustries, having accepted over $375,000 as part of their</w:t>
      </w:r>
      <w:r w:rsidR="0007003B">
        <w:rPr>
          <w:sz w:val="24"/>
          <w:szCs w:val="24"/>
        </w:rPr>
        <w:t xml:space="preserve"> donation</w:t>
      </w:r>
      <w:r w:rsidR="003818C1">
        <w:rPr>
          <w:sz w:val="24"/>
          <w:szCs w:val="24"/>
        </w:rPr>
        <w:t xml:space="preserve"> efforts to oppose climate change regulation</w:t>
      </w:r>
      <w:r w:rsidR="001C6A58">
        <w:rPr>
          <w:sz w:val="24"/>
          <w:szCs w:val="24"/>
        </w:rPr>
        <w:t xml:space="preserve"> between 2009 and 2017</w:t>
      </w:r>
      <w:r w:rsidR="003818C1">
        <w:rPr>
          <w:sz w:val="24"/>
          <w:szCs w:val="24"/>
        </w:rPr>
        <w:t xml:space="preserve">. </w:t>
      </w:r>
      <w:r w:rsidR="0007003B">
        <w:rPr>
          <w:sz w:val="24"/>
          <w:szCs w:val="24"/>
        </w:rPr>
        <w:t>He signed their “No Climate Tax Pledge”</w:t>
      </w:r>
      <w:r w:rsidR="001C6A58">
        <w:rPr>
          <w:sz w:val="24"/>
          <w:szCs w:val="24"/>
        </w:rPr>
        <w:t xml:space="preserve"> initiative, agreeing to resist legislation that would result in the taxation of energy-producers for their contributions to climate change. Overall, he has received almost $1.2 million from oil and gas companies.</w:t>
      </w:r>
      <w:r w:rsidR="00A97DFB">
        <w:rPr>
          <w:sz w:val="24"/>
          <w:szCs w:val="24"/>
        </w:rPr>
        <w:t xml:space="preserve"> Their agenda would be to make fossil fuels the centerpiece of climate policy.</w:t>
      </w:r>
    </w:p>
    <w:p w14:paraId="4F007B4E" w14:textId="77777777" w:rsidR="00E00339" w:rsidRDefault="00E00339" w:rsidP="00E00339">
      <w:pPr>
        <w:pStyle w:val="NoSpacing"/>
        <w:rPr>
          <w:sz w:val="24"/>
          <w:szCs w:val="24"/>
        </w:rPr>
      </w:pPr>
    </w:p>
    <w:p w14:paraId="4F007B4F" w14:textId="60B0821A" w:rsidR="00E00339" w:rsidRDefault="0007003B" w:rsidP="00E00339">
      <w:pPr>
        <w:pStyle w:val="NoSpacing"/>
        <w:rPr>
          <w:sz w:val="24"/>
          <w:szCs w:val="24"/>
        </w:rPr>
      </w:pPr>
      <w:r>
        <w:rPr>
          <w:sz w:val="24"/>
          <w:szCs w:val="24"/>
        </w:rPr>
        <w:t>2.</w:t>
      </w:r>
      <w:r>
        <w:rPr>
          <w:sz w:val="24"/>
          <w:szCs w:val="24"/>
        </w:rPr>
        <w:tab/>
        <w:t>Climate Change considered a National Security Risk?</w:t>
      </w:r>
    </w:p>
    <w:p w14:paraId="4F007B50" w14:textId="77777777" w:rsidR="00E00339" w:rsidRDefault="00E00339" w:rsidP="00E00339">
      <w:pPr>
        <w:pStyle w:val="NoSpacing"/>
        <w:rPr>
          <w:sz w:val="24"/>
          <w:szCs w:val="24"/>
        </w:rPr>
      </w:pPr>
    </w:p>
    <w:p w14:paraId="4F007B56" w14:textId="7F8B9B77" w:rsidR="00E00339" w:rsidRPr="002972D8" w:rsidRDefault="0007003B" w:rsidP="00E00339">
      <w:pPr>
        <w:pStyle w:val="NoSpacing"/>
        <w:numPr>
          <w:ilvl w:val="0"/>
          <w:numId w:val="2"/>
        </w:numPr>
        <w:rPr>
          <w:sz w:val="24"/>
          <w:szCs w:val="24"/>
        </w:rPr>
      </w:pPr>
      <w:r>
        <w:rPr>
          <w:sz w:val="24"/>
          <w:szCs w:val="24"/>
        </w:rPr>
        <w:t>In his nomination hearing for the position of Director of the Central Intelligence Agency, Senator Kamala Harris (D-CA) cited the former CIA Director Brennan’s statement in which he acknowledged the destabilizing impact of climate change, as well as NASA scientific studies about climate change. She asked Pompeo about his history of questioning climate change. He responded that he had not read the climate assessment nor NASA findings, and that his political life was directed to ensuring that no catastrophic harm resulted from change in climate. He assured Senator Harris that he would review the findings. In the 2018 Threat Assessment released by Central Intelligence under his direction, climate change is mentioned multiple times as a threat to national security. Based on his past focus on issues of terrorism, nuclear proliferation, and cyber security threats, many climate activist remain skeptical that climate will be an issue of top priority.</w:t>
      </w:r>
      <w:bookmarkStart w:id="0" w:name="_GoBack"/>
      <w:bookmarkEnd w:id="0"/>
    </w:p>
    <w:p w14:paraId="4F007B57" w14:textId="77777777" w:rsidR="00E00339" w:rsidRDefault="00E00339" w:rsidP="00E00339">
      <w:pPr>
        <w:pStyle w:val="NoSpacing"/>
        <w:rPr>
          <w:sz w:val="24"/>
          <w:szCs w:val="24"/>
        </w:rPr>
      </w:pPr>
    </w:p>
    <w:p w14:paraId="4F007B58" w14:textId="77777777" w:rsidR="00E00339" w:rsidRPr="00A11D73" w:rsidRDefault="00E00339" w:rsidP="00E00339">
      <w:pPr>
        <w:pStyle w:val="NoSpacing"/>
        <w:rPr>
          <w:b/>
          <w:sz w:val="24"/>
          <w:szCs w:val="24"/>
          <w:u w:val="single"/>
        </w:rPr>
      </w:pPr>
      <w:r>
        <w:rPr>
          <w:b/>
          <w:sz w:val="24"/>
          <w:szCs w:val="24"/>
          <w:u w:val="single"/>
        </w:rPr>
        <w:t>Misc.</w:t>
      </w:r>
    </w:p>
    <w:p w14:paraId="4F007B59" w14:textId="77777777" w:rsidR="00E00339" w:rsidRDefault="00E00339" w:rsidP="00E00339">
      <w:pPr>
        <w:pStyle w:val="NoSpacing"/>
        <w:rPr>
          <w:sz w:val="24"/>
          <w:szCs w:val="24"/>
        </w:rPr>
      </w:pPr>
    </w:p>
    <w:p w14:paraId="4F007B5B" w14:textId="43635D85" w:rsidR="00F36041" w:rsidRDefault="00A97DFB">
      <w:r>
        <w:t>Senator Rand Paul (R-AL)</w:t>
      </w:r>
      <w:r w:rsidR="005D5177">
        <w:t>, a member of the Senate Foreign Relations Committee,</w:t>
      </w:r>
      <w:r>
        <w:t xml:space="preserve"> has come out in opposition of </w:t>
      </w:r>
      <w:r w:rsidR="005D5177">
        <w:t>Pompeo’s nomination to be Secretary of State because of his hawkish views of conflict. However, he was confirmed as CIA Director with two-thirds of Senate support and is expected to be confirmed in April. Senator Lindsey O. Graham (R-SC) finds that he aligns for closely with Trump’s foreign policy objectives.</w:t>
      </w:r>
    </w:p>
    <w:sectPr w:rsidR="00F36041" w:rsidSect="00602B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3B19"/>
    <w:multiLevelType w:val="hybridMultilevel"/>
    <w:tmpl w:val="AEAA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1B7"/>
    <w:multiLevelType w:val="hybridMultilevel"/>
    <w:tmpl w:val="484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C0F66"/>
    <w:multiLevelType w:val="hybridMultilevel"/>
    <w:tmpl w:val="B4746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A19CF"/>
    <w:multiLevelType w:val="hybridMultilevel"/>
    <w:tmpl w:val="A6D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E5DB0"/>
    <w:multiLevelType w:val="hybridMultilevel"/>
    <w:tmpl w:val="3AE28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39"/>
    <w:rsid w:val="00006E46"/>
    <w:rsid w:val="0007003B"/>
    <w:rsid w:val="000B6A36"/>
    <w:rsid w:val="000D63D4"/>
    <w:rsid w:val="000D64FC"/>
    <w:rsid w:val="000E2E84"/>
    <w:rsid w:val="00104721"/>
    <w:rsid w:val="00145CC3"/>
    <w:rsid w:val="001A513F"/>
    <w:rsid w:val="001B0D42"/>
    <w:rsid w:val="001B3552"/>
    <w:rsid w:val="001B5373"/>
    <w:rsid w:val="001B70BD"/>
    <w:rsid w:val="001C5DE0"/>
    <w:rsid w:val="001C6A58"/>
    <w:rsid w:val="001D20E6"/>
    <w:rsid w:val="001E2332"/>
    <w:rsid w:val="001F5B7B"/>
    <w:rsid w:val="001F6EDD"/>
    <w:rsid w:val="00214E1C"/>
    <w:rsid w:val="00220970"/>
    <w:rsid w:val="00225206"/>
    <w:rsid w:val="00235709"/>
    <w:rsid w:val="00240863"/>
    <w:rsid w:val="00251C25"/>
    <w:rsid w:val="00257B27"/>
    <w:rsid w:val="002972D8"/>
    <w:rsid w:val="002A11DF"/>
    <w:rsid w:val="002A462B"/>
    <w:rsid w:val="002B0CA1"/>
    <w:rsid w:val="002B2AEA"/>
    <w:rsid w:val="002C5B25"/>
    <w:rsid w:val="002D5786"/>
    <w:rsid w:val="002D5CB6"/>
    <w:rsid w:val="002F5274"/>
    <w:rsid w:val="003601B8"/>
    <w:rsid w:val="003747BD"/>
    <w:rsid w:val="003818C1"/>
    <w:rsid w:val="0039432B"/>
    <w:rsid w:val="00395599"/>
    <w:rsid w:val="003A0245"/>
    <w:rsid w:val="003A1AA2"/>
    <w:rsid w:val="003B6B72"/>
    <w:rsid w:val="003B6BB8"/>
    <w:rsid w:val="003D2B09"/>
    <w:rsid w:val="003D4163"/>
    <w:rsid w:val="003D421E"/>
    <w:rsid w:val="003F69F9"/>
    <w:rsid w:val="004055C3"/>
    <w:rsid w:val="00407270"/>
    <w:rsid w:val="0044084F"/>
    <w:rsid w:val="00440D4C"/>
    <w:rsid w:val="004954FF"/>
    <w:rsid w:val="004F7F0D"/>
    <w:rsid w:val="0050465D"/>
    <w:rsid w:val="00516DA2"/>
    <w:rsid w:val="00523837"/>
    <w:rsid w:val="00535665"/>
    <w:rsid w:val="00536438"/>
    <w:rsid w:val="00543232"/>
    <w:rsid w:val="00570A9A"/>
    <w:rsid w:val="00573524"/>
    <w:rsid w:val="00592709"/>
    <w:rsid w:val="005A2158"/>
    <w:rsid w:val="005A3ADD"/>
    <w:rsid w:val="005D5177"/>
    <w:rsid w:val="00602B75"/>
    <w:rsid w:val="00640A24"/>
    <w:rsid w:val="0065072D"/>
    <w:rsid w:val="00662EA7"/>
    <w:rsid w:val="006816D7"/>
    <w:rsid w:val="00686C01"/>
    <w:rsid w:val="006C5C19"/>
    <w:rsid w:val="006D04CA"/>
    <w:rsid w:val="006D153E"/>
    <w:rsid w:val="006D5751"/>
    <w:rsid w:val="006E201F"/>
    <w:rsid w:val="006F068A"/>
    <w:rsid w:val="006F1A56"/>
    <w:rsid w:val="006F46E4"/>
    <w:rsid w:val="006F6BA3"/>
    <w:rsid w:val="0071252D"/>
    <w:rsid w:val="00770BA3"/>
    <w:rsid w:val="00776417"/>
    <w:rsid w:val="0079751C"/>
    <w:rsid w:val="007A091A"/>
    <w:rsid w:val="007A3551"/>
    <w:rsid w:val="007A3B93"/>
    <w:rsid w:val="007B7B02"/>
    <w:rsid w:val="0082053F"/>
    <w:rsid w:val="008225FC"/>
    <w:rsid w:val="00823379"/>
    <w:rsid w:val="00827E18"/>
    <w:rsid w:val="008412ED"/>
    <w:rsid w:val="00863915"/>
    <w:rsid w:val="0087141B"/>
    <w:rsid w:val="008978FE"/>
    <w:rsid w:val="008A4940"/>
    <w:rsid w:val="008B3520"/>
    <w:rsid w:val="008C6FB3"/>
    <w:rsid w:val="008D3D04"/>
    <w:rsid w:val="009070EF"/>
    <w:rsid w:val="009128B7"/>
    <w:rsid w:val="00922EF8"/>
    <w:rsid w:val="009273AA"/>
    <w:rsid w:val="009A72A8"/>
    <w:rsid w:val="009B79D3"/>
    <w:rsid w:val="009C7236"/>
    <w:rsid w:val="00A05671"/>
    <w:rsid w:val="00A13986"/>
    <w:rsid w:val="00A56243"/>
    <w:rsid w:val="00A62048"/>
    <w:rsid w:val="00A77319"/>
    <w:rsid w:val="00A8633A"/>
    <w:rsid w:val="00A97DFB"/>
    <w:rsid w:val="00AA0FB8"/>
    <w:rsid w:val="00AB7998"/>
    <w:rsid w:val="00AC78CE"/>
    <w:rsid w:val="00AD0DE6"/>
    <w:rsid w:val="00B11E42"/>
    <w:rsid w:val="00B51DFE"/>
    <w:rsid w:val="00B54B19"/>
    <w:rsid w:val="00B5515C"/>
    <w:rsid w:val="00B6148D"/>
    <w:rsid w:val="00B75A0F"/>
    <w:rsid w:val="00B93A65"/>
    <w:rsid w:val="00BB7D9B"/>
    <w:rsid w:val="00BC30D2"/>
    <w:rsid w:val="00BE6224"/>
    <w:rsid w:val="00C00BF4"/>
    <w:rsid w:val="00C0723F"/>
    <w:rsid w:val="00C646D3"/>
    <w:rsid w:val="00CB3A80"/>
    <w:rsid w:val="00CC6C7B"/>
    <w:rsid w:val="00CD2722"/>
    <w:rsid w:val="00CD7F8C"/>
    <w:rsid w:val="00D270D6"/>
    <w:rsid w:val="00D36989"/>
    <w:rsid w:val="00D37711"/>
    <w:rsid w:val="00D52951"/>
    <w:rsid w:val="00D56CAA"/>
    <w:rsid w:val="00D67FC4"/>
    <w:rsid w:val="00D90BC9"/>
    <w:rsid w:val="00D977BE"/>
    <w:rsid w:val="00E00339"/>
    <w:rsid w:val="00E445BF"/>
    <w:rsid w:val="00E52FB3"/>
    <w:rsid w:val="00E64DC5"/>
    <w:rsid w:val="00E96348"/>
    <w:rsid w:val="00EA48E2"/>
    <w:rsid w:val="00EA5032"/>
    <w:rsid w:val="00EB6BA4"/>
    <w:rsid w:val="00EC335D"/>
    <w:rsid w:val="00ED2D95"/>
    <w:rsid w:val="00EF2D0C"/>
    <w:rsid w:val="00EF3779"/>
    <w:rsid w:val="00EF7EA1"/>
    <w:rsid w:val="00F31910"/>
    <w:rsid w:val="00F36041"/>
    <w:rsid w:val="00F73714"/>
    <w:rsid w:val="00F86B81"/>
    <w:rsid w:val="00F950F0"/>
    <w:rsid w:val="00FA3464"/>
    <w:rsid w:val="00FB75C2"/>
    <w:rsid w:val="00FC4963"/>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7B2C"/>
  <w15:chartTrackingRefBased/>
  <w15:docId w15:val="{AB905C51-2917-4A2E-8D60-BA46CB23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3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819F8E2F49469C7CC63620EE607D" ma:contentTypeVersion="6" ma:contentTypeDescription="Create a new document." ma:contentTypeScope="" ma:versionID="cfc5f6d1ffad0c4ac0e34e099a395693">
  <xsd:schema xmlns:xsd="http://www.w3.org/2001/XMLSchema" xmlns:xs="http://www.w3.org/2001/XMLSchema" xmlns:p="http://schemas.microsoft.com/office/2006/metadata/properties" xmlns:ns2="aba6c260-4e54-4735-8f40-b84bc4ab3c0a" xmlns:ns3="fe786d66-a411-4c51-aee7-bf0ecbd1bf50" targetNamespace="http://schemas.microsoft.com/office/2006/metadata/properties" ma:root="true" ma:fieldsID="5200855c7e2ab6ac3afcaf1754e951b9" ns2:_="" ns3:_="">
    <xsd:import namespace="aba6c260-4e54-4735-8f40-b84bc4ab3c0a"/>
    <xsd:import namespace="fe786d66-a411-4c51-aee7-bf0ecbd1bf50"/>
    <xsd:element name="properties">
      <xsd:complexType>
        <xsd:sequence>
          <xsd:element name="documentManagement">
            <xsd:complexType>
              <xsd:all>
                <xsd:element ref="ns2:SharedWithUsers" minOccurs="0"/>
                <xsd:element ref="ns2:SharedWithDetails" minOccurs="0"/>
                <xsd:element ref="ns3:Doc_x0020_Typ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6c260-4e54-4735-8f40-b84bc4ab3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86d66-a411-4c51-aee7-bf0ecbd1bf50" elementFormDefault="qualified">
    <xsd:import namespace="http://schemas.microsoft.com/office/2006/documentManagement/types"/>
    <xsd:import namespace="http://schemas.microsoft.com/office/infopath/2007/PartnerControls"/>
    <xsd:element name="Doc_x0020_Type" ma:index="10" nillable="true" ma:displayName="Doc Type" ma:internalName="Doc_x0020_Typ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fe786d66-a411-4c51-aee7-bf0ecbd1bf50" xsi:nil="true"/>
  </documentManagement>
</p:properties>
</file>

<file path=customXml/itemProps1.xml><?xml version="1.0" encoding="utf-8"?>
<ds:datastoreItem xmlns:ds="http://schemas.openxmlformats.org/officeDocument/2006/customXml" ds:itemID="{0687C27F-A6E8-4E95-B40B-FCB18AE63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6c260-4e54-4735-8f40-b84bc4ab3c0a"/>
    <ds:schemaRef ds:uri="fe786d66-a411-4c51-aee7-bf0ecbd1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43FFE-3A57-484A-9DD4-1FC66FAC1A46}">
  <ds:schemaRefs>
    <ds:schemaRef ds:uri="http://schemas.microsoft.com/sharepoint/v3/contenttype/forms"/>
  </ds:schemaRefs>
</ds:datastoreItem>
</file>

<file path=customXml/itemProps3.xml><?xml version="1.0" encoding="utf-8"?>
<ds:datastoreItem xmlns:ds="http://schemas.openxmlformats.org/officeDocument/2006/customXml" ds:itemID="{D97BFE74-9311-429E-B9B9-AA59AD3BA094}">
  <ds:schemaRefs>
    <ds:schemaRef ds:uri="http://schemas.microsoft.com/office/2006/metadata/properties"/>
    <ds:schemaRef ds:uri="http://schemas.microsoft.com/office/infopath/2007/PartnerControls"/>
    <ds:schemaRef ds:uri="fe786d66-a411-4c51-aee7-bf0ecbd1bf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Pintabutr, America May</dc:creator>
  <cp:keywords/>
  <dc:description/>
  <cp:lastModifiedBy>Olivia Valone</cp:lastModifiedBy>
  <cp:revision>2</cp:revision>
  <dcterms:created xsi:type="dcterms:W3CDTF">2018-03-23T21:29:00Z</dcterms:created>
  <dcterms:modified xsi:type="dcterms:W3CDTF">2018-03-23T21:29:00Z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0x01010073B0819F8E2F49469C7CC63620EE607D</vt:lpwstr>
  </property>
</Properties>
</file>