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43C8F" w14:textId="77777777" w:rsidR="007A5BD9" w:rsidRDefault="007A5BD9" w:rsidP="007A5BD9">
      <w:pPr>
        <w:jc w:val="center"/>
        <w:rPr>
          <w:rFonts w:asciiTheme="majorBidi" w:hAnsiTheme="majorBidi" w:cstheme="majorBidi"/>
        </w:rPr>
      </w:pPr>
      <w:bookmarkStart w:id="0" w:name="_GoBack"/>
      <w:bookmarkEnd w:id="0"/>
    </w:p>
    <w:p w14:paraId="12C42ADF" w14:textId="77777777" w:rsidR="007A5BD9" w:rsidRDefault="007A5BD9" w:rsidP="007A5BD9">
      <w:pPr>
        <w:jc w:val="center"/>
        <w:rPr>
          <w:rFonts w:asciiTheme="majorBidi" w:hAnsiTheme="majorBidi" w:cstheme="majorBidi"/>
        </w:rPr>
      </w:pPr>
    </w:p>
    <w:p w14:paraId="0AAD564D" w14:textId="77777777" w:rsidR="007A5BD9" w:rsidRDefault="007A5BD9" w:rsidP="007A5BD9">
      <w:pPr>
        <w:jc w:val="center"/>
        <w:rPr>
          <w:rFonts w:asciiTheme="majorBidi" w:hAnsiTheme="majorBidi" w:cstheme="majorBidi"/>
        </w:rPr>
      </w:pPr>
    </w:p>
    <w:p w14:paraId="36D47EAC" w14:textId="77777777" w:rsidR="007A5BD9" w:rsidRDefault="007A5BD9" w:rsidP="007A5BD9">
      <w:pPr>
        <w:jc w:val="center"/>
        <w:rPr>
          <w:rFonts w:asciiTheme="majorBidi" w:hAnsiTheme="majorBidi" w:cstheme="majorBidi"/>
        </w:rPr>
      </w:pPr>
    </w:p>
    <w:p w14:paraId="110C56E4" w14:textId="77777777" w:rsidR="007A5BD9" w:rsidRDefault="007A5BD9" w:rsidP="007A5BD9">
      <w:pPr>
        <w:jc w:val="center"/>
        <w:rPr>
          <w:rFonts w:asciiTheme="majorBidi" w:hAnsiTheme="majorBidi" w:cstheme="majorBidi"/>
        </w:rPr>
      </w:pPr>
    </w:p>
    <w:p w14:paraId="216E2A78" w14:textId="77777777" w:rsidR="007A5BD9" w:rsidRDefault="007A5BD9" w:rsidP="007A5BD9">
      <w:pPr>
        <w:jc w:val="center"/>
        <w:rPr>
          <w:rFonts w:asciiTheme="majorBidi" w:hAnsiTheme="majorBidi" w:cstheme="majorBidi"/>
        </w:rPr>
      </w:pPr>
    </w:p>
    <w:p w14:paraId="1A5FF591" w14:textId="77777777" w:rsidR="007A5BD9" w:rsidRDefault="007A5BD9" w:rsidP="007A5BD9">
      <w:pPr>
        <w:jc w:val="center"/>
        <w:rPr>
          <w:rFonts w:asciiTheme="majorBidi" w:hAnsiTheme="majorBidi" w:cstheme="majorBidi"/>
        </w:rPr>
      </w:pPr>
    </w:p>
    <w:p w14:paraId="6E5C8973" w14:textId="77777777" w:rsidR="007A5BD9" w:rsidRDefault="007A5BD9" w:rsidP="007A5BD9">
      <w:pPr>
        <w:jc w:val="center"/>
        <w:rPr>
          <w:rFonts w:asciiTheme="majorBidi" w:hAnsiTheme="majorBidi" w:cstheme="majorBidi"/>
        </w:rPr>
      </w:pPr>
    </w:p>
    <w:p w14:paraId="6F11EF72" w14:textId="77777777" w:rsidR="007A5BD9" w:rsidRDefault="007A5BD9" w:rsidP="007A5BD9">
      <w:pPr>
        <w:jc w:val="center"/>
        <w:rPr>
          <w:rFonts w:asciiTheme="majorBidi" w:hAnsiTheme="majorBidi" w:cstheme="majorBidi"/>
        </w:rPr>
      </w:pPr>
    </w:p>
    <w:p w14:paraId="1E1BCD32" w14:textId="77777777" w:rsidR="007A5BD9" w:rsidRDefault="007A5BD9" w:rsidP="007A5BD9">
      <w:pPr>
        <w:jc w:val="center"/>
        <w:rPr>
          <w:rFonts w:asciiTheme="majorBidi" w:hAnsiTheme="majorBidi" w:cstheme="majorBidi"/>
        </w:rPr>
      </w:pPr>
    </w:p>
    <w:p w14:paraId="2B9BB67B" w14:textId="77777777" w:rsidR="007A5BD9" w:rsidRDefault="007A5BD9" w:rsidP="007A5BD9">
      <w:pPr>
        <w:jc w:val="center"/>
        <w:rPr>
          <w:rFonts w:asciiTheme="majorBidi" w:hAnsiTheme="majorBidi" w:cstheme="majorBidi"/>
        </w:rPr>
      </w:pPr>
    </w:p>
    <w:p w14:paraId="0FB452D2" w14:textId="77777777" w:rsidR="007A5BD9" w:rsidRDefault="007A5BD9" w:rsidP="007A5BD9">
      <w:pPr>
        <w:jc w:val="center"/>
        <w:rPr>
          <w:rFonts w:asciiTheme="majorBidi" w:hAnsiTheme="majorBidi" w:cstheme="majorBidi"/>
        </w:rPr>
      </w:pPr>
    </w:p>
    <w:p w14:paraId="13D9F65E" w14:textId="77777777" w:rsidR="007A5BD9" w:rsidRDefault="007A5BD9" w:rsidP="007A5BD9">
      <w:pPr>
        <w:jc w:val="center"/>
        <w:rPr>
          <w:rFonts w:asciiTheme="majorBidi" w:hAnsiTheme="majorBidi" w:cstheme="majorBidi"/>
        </w:rPr>
      </w:pPr>
    </w:p>
    <w:p w14:paraId="2BCD30D8" w14:textId="77777777" w:rsidR="007A5BD9" w:rsidRDefault="007A5BD9" w:rsidP="007A5BD9">
      <w:pPr>
        <w:jc w:val="center"/>
        <w:rPr>
          <w:rFonts w:asciiTheme="majorBidi" w:hAnsiTheme="majorBidi" w:cstheme="majorBidi"/>
        </w:rPr>
      </w:pPr>
    </w:p>
    <w:p w14:paraId="79D786E3" w14:textId="77777777" w:rsidR="007A5BD9" w:rsidRDefault="007A5BD9" w:rsidP="007A5BD9">
      <w:pPr>
        <w:jc w:val="center"/>
        <w:rPr>
          <w:rFonts w:asciiTheme="majorBidi" w:hAnsiTheme="majorBidi" w:cstheme="majorBidi"/>
        </w:rPr>
      </w:pPr>
    </w:p>
    <w:p w14:paraId="5C5EAA0D" w14:textId="77777777" w:rsidR="007A5BD9" w:rsidRDefault="007A5BD9" w:rsidP="007A5BD9">
      <w:pPr>
        <w:jc w:val="center"/>
        <w:rPr>
          <w:rFonts w:asciiTheme="majorBidi" w:hAnsiTheme="majorBidi" w:cstheme="majorBidi"/>
        </w:rPr>
      </w:pPr>
    </w:p>
    <w:p w14:paraId="36AE8AAB" w14:textId="77777777" w:rsidR="007A5BD9" w:rsidRDefault="007A5BD9" w:rsidP="007A5BD9">
      <w:pPr>
        <w:jc w:val="center"/>
        <w:rPr>
          <w:rFonts w:asciiTheme="majorBidi" w:hAnsiTheme="majorBidi" w:cstheme="majorBidi"/>
        </w:rPr>
      </w:pPr>
    </w:p>
    <w:p w14:paraId="610A82B5" w14:textId="77777777" w:rsidR="007A5BD9" w:rsidRDefault="007A5BD9" w:rsidP="007A5BD9">
      <w:pPr>
        <w:jc w:val="center"/>
        <w:rPr>
          <w:rFonts w:asciiTheme="majorBidi" w:hAnsiTheme="majorBidi" w:cstheme="majorBidi"/>
        </w:rPr>
      </w:pPr>
    </w:p>
    <w:p w14:paraId="6B45499F" w14:textId="77777777" w:rsidR="007A5BD9" w:rsidRDefault="007A5BD9" w:rsidP="007A5BD9">
      <w:pPr>
        <w:jc w:val="center"/>
        <w:rPr>
          <w:rFonts w:asciiTheme="majorBidi" w:hAnsiTheme="majorBidi" w:cstheme="majorBidi"/>
        </w:rPr>
      </w:pPr>
    </w:p>
    <w:p w14:paraId="5C2639DE" w14:textId="77777777" w:rsidR="007A5BD9" w:rsidRDefault="007A5BD9" w:rsidP="007A5BD9">
      <w:pPr>
        <w:jc w:val="center"/>
        <w:rPr>
          <w:rFonts w:asciiTheme="majorBidi" w:hAnsiTheme="majorBidi" w:cstheme="majorBidi"/>
        </w:rPr>
      </w:pPr>
    </w:p>
    <w:p w14:paraId="63AC0ED7" w14:textId="2B087A41" w:rsidR="007A5BD9" w:rsidRDefault="00CD0303" w:rsidP="007A5BD9">
      <w:pPr>
        <w:jc w:val="center"/>
        <w:rPr>
          <w:rFonts w:asciiTheme="majorBidi" w:hAnsiTheme="majorBidi" w:cstheme="majorBidi"/>
        </w:rPr>
      </w:pPr>
      <w:r>
        <w:rPr>
          <w:rFonts w:asciiTheme="majorBidi" w:hAnsiTheme="majorBidi" w:cstheme="majorBidi"/>
        </w:rPr>
        <w:t>ITALIAN ARTIFACT RESTITUTION: WHO OWNS HISTORY?</w:t>
      </w:r>
    </w:p>
    <w:p w14:paraId="4186E313" w14:textId="77777777" w:rsidR="007A5BD9" w:rsidRDefault="007A5BD9" w:rsidP="007A5BD9">
      <w:pPr>
        <w:jc w:val="center"/>
        <w:rPr>
          <w:rFonts w:asciiTheme="majorBidi" w:hAnsiTheme="majorBidi" w:cstheme="majorBidi"/>
        </w:rPr>
      </w:pPr>
    </w:p>
    <w:p w14:paraId="6EC2192E" w14:textId="77777777" w:rsidR="007A5BD9" w:rsidRDefault="007A5BD9" w:rsidP="007A5BD9">
      <w:pPr>
        <w:jc w:val="center"/>
        <w:rPr>
          <w:rFonts w:asciiTheme="majorBidi" w:hAnsiTheme="majorBidi" w:cstheme="majorBidi"/>
        </w:rPr>
      </w:pPr>
    </w:p>
    <w:p w14:paraId="274CEC47" w14:textId="77777777" w:rsidR="007A5BD9" w:rsidRDefault="007A5BD9" w:rsidP="007A5BD9">
      <w:pPr>
        <w:jc w:val="center"/>
        <w:rPr>
          <w:rFonts w:asciiTheme="majorBidi" w:hAnsiTheme="majorBidi" w:cstheme="majorBidi"/>
        </w:rPr>
      </w:pPr>
    </w:p>
    <w:p w14:paraId="4D112F4B" w14:textId="77777777" w:rsidR="007A5BD9" w:rsidRDefault="007A5BD9" w:rsidP="007A5BD9">
      <w:pPr>
        <w:jc w:val="center"/>
        <w:rPr>
          <w:rFonts w:asciiTheme="majorBidi" w:hAnsiTheme="majorBidi" w:cstheme="majorBidi"/>
        </w:rPr>
      </w:pPr>
    </w:p>
    <w:p w14:paraId="27501F5F" w14:textId="77777777" w:rsidR="007A5BD9" w:rsidRDefault="007A5BD9" w:rsidP="007A5BD9">
      <w:pPr>
        <w:jc w:val="center"/>
        <w:rPr>
          <w:rFonts w:asciiTheme="majorBidi" w:hAnsiTheme="majorBidi" w:cstheme="majorBidi"/>
        </w:rPr>
      </w:pPr>
    </w:p>
    <w:p w14:paraId="47D05228" w14:textId="77777777" w:rsidR="007A5BD9" w:rsidRDefault="007A5BD9" w:rsidP="007A5BD9">
      <w:pPr>
        <w:jc w:val="center"/>
        <w:rPr>
          <w:rFonts w:asciiTheme="majorBidi" w:hAnsiTheme="majorBidi" w:cstheme="majorBidi"/>
        </w:rPr>
      </w:pPr>
    </w:p>
    <w:p w14:paraId="1DECAFC9" w14:textId="77777777" w:rsidR="007A5BD9" w:rsidRDefault="007A5BD9" w:rsidP="007A5BD9">
      <w:pPr>
        <w:jc w:val="center"/>
        <w:rPr>
          <w:rFonts w:asciiTheme="majorBidi" w:hAnsiTheme="majorBidi" w:cstheme="majorBidi"/>
        </w:rPr>
      </w:pPr>
    </w:p>
    <w:p w14:paraId="1C207109" w14:textId="77777777" w:rsidR="007A5BD9" w:rsidRDefault="007A5BD9" w:rsidP="007A5BD9">
      <w:pPr>
        <w:jc w:val="center"/>
        <w:rPr>
          <w:rFonts w:asciiTheme="majorBidi" w:hAnsiTheme="majorBidi" w:cstheme="majorBidi"/>
        </w:rPr>
      </w:pPr>
    </w:p>
    <w:p w14:paraId="239D36E5" w14:textId="77777777" w:rsidR="007A5BD9" w:rsidRDefault="007A5BD9" w:rsidP="007A5BD9">
      <w:pPr>
        <w:jc w:val="center"/>
        <w:rPr>
          <w:rFonts w:asciiTheme="majorBidi" w:hAnsiTheme="majorBidi" w:cstheme="majorBidi"/>
        </w:rPr>
      </w:pPr>
    </w:p>
    <w:p w14:paraId="614FB3C0" w14:textId="77777777" w:rsidR="007A5BD9" w:rsidRDefault="007A5BD9" w:rsidP="007A5BD9">
      <w:pPr>
        <w:jc w:val="center"/>
        <w:rPr>
          <w:rFonts w:asciiTheme="majorBidi" w:hAnsiTheme="majorBidi" w:cstheme="majorBidi"/>
        </w:rPr>
      </w:pPr>
    </w:p>
    <w:p w14:paraId="49AFAE4E" w14:textId="77777777" w:rsidR="007A5BD9" w:rsidRDefault="007A5BD9" w:rsidP="007A5BD9">
      <w:pPr>
        <w:jc w:val="center"/>
        <w:rPr>
          <w:rFonts w:asciiTheme="majorBidi" w:hAnsiTheme="majorBidi" w:cstheme="majorBidi"/>
        </w:rPr>
      </w:pPr>
    </w:p>
    <w:p w14:paraId="73BED334" w14:textId="77777777" w:rsidR="007A5BD9" w:rsidRDefault="007A5BD9" w:rsidP="007A5BD9">
      <w:pPr>
        <w:jc w:val="center"/>
        <w:rPr>
          <w:rFonts w:asciiTheme="majorBidi" w:hAnsiTheme="majorBidi" w:cstheme="majorBidi"/>
        </w:rPr>
      </w:pPr>
    </w:p>
    <w:p w14:paraId="7AB96F2B" w14:textId="77777777" w:rsidR="007A5BD9" w:rsidRDefault="007A5BD9" w:rsidP="007A5BD9">
      <w:pPr>
        <w:jc w:val="center"/>
        <w:rPr>
          <w:rFonts w:asciiTheme="majorBidi" w:hAnsiTheme="majorBidi" w:cstheme="majorBidi"/>
        </w:rPr>
      </w:pPr>
    </w:p>
    <w:p w14:paraId="36EAB96F" w14:textId="77777777" w:rsidR="007A5BD9" w:rsidRDefault="007A5BD9" w:rsidP="007A5BD9">
      <w:pPr>
        <w:jc w:val="center"/>
        <w:rPr>
          <w:rFonts w:asciiTheme="majorBidi" w:hAnsiTheme="majorBidi" w:cstheme="majorBidi"/>
        </w:rPr>
      </w:pPr>
    </w:p>
    <w:p w14:paraId="65D8B80E" w14:textId="77777777" w:rsidR="007A5BD9" w:rsidRDefault="007A5BD9" w:rsidP="007A5BD9">
      <w:pPr>
        <w:jc w:val="center"/>
        <w:rPr>
          <w:rFonts w:asciiTheme="majorBidi" w:hAnsiTheme="majorBidi" w:cstheme="majorBidi"/>
        </w:rPr>
      </w:pPr>
    </w:p>
    <w:p w14:paraId="4619DE08" w14:textId="77777777" w:rsidR="007A5BD9" w:rsidRDefault="007A5BD9" w:rsidP="007A5BD9">
      <w:pPr>
        <w:jc w:val="center"/>
        <w:rPr>
          <w:rFonts w:asciiTheme="majorBidi" w:hAnsiTheme="majorBidi" w:cstheme="majorBidi"/>
        </w:rPr>
      </w:pPr>
    </w:p>
    <w:p w14:paraId="6967B6CA" w14:textId="77777777" w:rsidR="007A5BD9" w:rsidRDefault="007A5BD9" w:rsidP="007A5BD9">
      <w:pPr>
        <w:jc w:val="center"/>
        <w:rPr>
          <w:rFonts w:asciiTheme="majorBidi" w:hAnsiTheme="majorBidi" w:cstheme="majorBidi"/>
        </w:rPr>
      </w:pPr>
    </w:p>
    <w:p w14:paraId="4ADC5413" w14:textId="77777777" w:rsidR="007A5BD9" w:rsidRDefault="007A5BD9" w:rsidP="007A5BD9">
      <w:pPr>
        <w:jc w:val="center"/>
        <w:rPr>
          <w:rFonts w:asciiTheme="majorBidi" w:hAnsiTheme="majorBidi" w:cstheme="majorBidi"/>
        </w:rPr>
      </w:pPr>
    </w:p>
    <w:p w14:paraId="625EDC47" w14:textId="77777777" w:rsidR="007A5BD9" w:rsidRDefault="007A5BD9" w:rsidP="00B84CCD">
      <w:pPr>
        <w:rPr>
          <w:rFonts w:asciiTheme="majorBidi" w:hAnsiTheme="majorBidi" w:cstheme="majorBidi"/>
        </w:rPr>
      </w:pPr>
    </w:p>
    <w:p w14:paraId="1CA1245F" w14:textId="77777777" w:rsidR="007A5BD9" w:rsidRDefault="007A5BD9" w:rsidP="007A5BD9">
      <w:pPr>
        <w:jc w:val="center"/>
        <w:rPr>
          <w:rFonts w:asciiTheme="majorBidi" w:hAnsiTheme="majorBidi" w:cstheme="majorBidi"/>
        </w:rPr>
      </w:pPr>
    </w:p>
    <w:p w14:paraId="5C04DC3D" w14:textId="33816B11" w:rsidR="007A5BD9" w:rsidRDefault="007A5BD9" w:rsidP="007A5BD9">
      <w:pPr>
        <w:jc w:val="center"/>
        <w:rPr>
          <w:rFonts w:asciiTheme="majorBidi" w:hAnsiTheme="majorBidi" w:cstheme="majorBidi"/>
        </w:rPr>
      </w:pPr>
      <w:r>
        <w:rPr>
          <w:rFonts w:asciiTheme="majorBidi" w:hAnsiTheme="majorBidi" w:cstheme="majorBidi"/>
        </w:rPr>
        <w:t>T. Albert Fujii</w:t>
      </w:r>
    </w:p>
    <w:p w14:paraId="571663F4" w14:textId="55D1AE51" w:rsidR="007A5BD9" w:rsidRDefault="007A5BD9" w:rsidP="007A5BD9">
      <w:pPr>
        <w:jc w:val="center"/>
        <w:rPr>
          <w:rFonts w:asciiTheme="majorBidi" w:hAnsiTheme="majorBidi" w:cstheme="majorBidi"/>
        </w:rPr>
      </w:pPr>
      <w:r>
        <w:rPr>
          <w:rFonts w:asciiTheme="majorBidi" w:hAnsiTheme="majorBidi" w:cstheme="majorBidi"/>
        </w:rPr>
        <w:t xml:space="preserve">Professor Laura Field, </w:t>
      </w:r>
      <w:r w:rsidR="001442B5">
        <w:rPr>
          <w:rFonts w:asciiTheme="majorBidi" w:hAnsiTheme="majorBidi" w:cstheme="majorBidi"/>
        </w:rPr>
        <w:t>Ph.D.</w:t>
      </w:r>
    </w:p>
    <w:p w14:paraId="1720C7B7" w14:textId="5F9A803C" w:rsidR="00B84CCD" w:rsidRDefault="00B84CCD" w:rsidP="00B84CCD">
      <w:pPr>
        <w:jc w:val="center"/>
        <w:rPr>
          <w:rFonts w:asciiTheme="majorBidi" w:hAnsiTheme="majorBidi" w:cstheme="majorBidi"/>
        </w:rPr>
      </w:pPr>
      <w:r>
        <w:rPr>
          <w:rFonts w:asciiTheme="majorBidi" w:hAnsiTheme="majorBidi" w:cstheme="majorBidi"/>
        </w:rPr>
        <w:t>American University, School of International Service</w:t>
      </w:r>
    </w:p>
    <w:p w14:paraId="41820187" w14:textId="453665F2" w:rsidR="007A5BD9" w:rsidRDefault="007A5BD9" w:rsidP="005605DE">
      <w:pPr>
        <w:jc w:val="center"/>
        <w:rPr>
          <w:rFonts w:asciiTheme="majorBidi" w:hAnsiTheme="majorBidi" w:cstheme="majorBidi"/>
        </w:rPr>
      </w:pPr>
      <w:r>
        <w:rPr>
          <w:rFonts w:asciiTheme="majorBidi" w:hAnsiTheme="majorBidi" w:cstheme="majorBidi"/>
        </w:rPr>
        <w:t>SISU-306</w:t>
      </w:r>
      <w:r w:rsidR="00B84CCD">
        <w:rPr>
          <w:rFonts w:asciiTheme="majorBidi" w:hAnsiTheme="majorBidi" w:cstheme="majorBidi"/>
        </w:rPr>
        <w:t>: International Relations Research</w:t>
      </w:r>
    </w:p>
    <w:p w14:paraId="11267BBB" w14:textId="36192E5F" w:rsidR="001417E8" w:rsidRDefault="009F6E28" w:rsidP="009F6E28">
      <w:pPr>
        <w:jc w:val="center"/>
        <w:rPr>
          <w:rFonts w:asciiTheme="majorBidi" w:hAnsiTheme="majorBidi" w:cstheme="majorBidi"/>
        </w:rPr>
      </w:pPr>
      <w:r>
        <w:rPr>
          <w:rFonts w:asciiTheme="majorBidi" w:hAnsiTheme="majorBidi" w:cstheme="majorBidi"/>
        </w:rPr>
        <w:t>9 May</w:t>
      </w:r>
      <w:r w:rsidR="007A5BD9">
        <w:rPr>
          <w:rFonts w:asciiTheme="majorBidi" w:hAnsiTheme="majorBidi" w:cstheme="majorBidi"/>
        </w:rPr>
        <w:t xml:space="preserve"> 2017</w:t>
      </w:r>
    </w:p>
    <w:p w14:paraId="294F36B9" w14:textId="312F1C3C" w:rsidR="001417E8" w:rsidRDefault="001417E8" w:rsidP="001417E8">
      <w:pPr>
        <w:rPr>
          <w:rFonts w:asciiTheme="majorBidi" w:hAnsiTheme="majorBidi" w:cstheme="majorBidi"/>
          <w:b/>
          <w:bCs/>
        </w:rPr>
      </w:pPr>
      <w:r w:rsidRPr="001417E8">
        <w:rPr>
          <w:rFonts w:asciiTheme="majorBidi" w:hAnsiTheme="majorBidi" w:cstheme="majorBidi"/>
          <w:b/>
          <w:bCs/>
        </w:rPr>
        <w:lastRenderedPageBreak/>
        <w:t xml:space="preserve">Abstract </w:t>
      </w:r>
    </w:p>
    <w:p w14:paraId="43309DC7" w14:textId="77777777" w:rsidR="00DC6ED8" w:rsidRDefault="00DC6ED8" w:rsidP="00DC6ED8">
      <w:pPr>
        <w:jc w:val="both"/>
        <w:rPr>
          <w:rFonts w:asciiTheme="majorBidi" w:hAnsiTheme="majorBidi" w:cstheme="majorBidi"/>
        </w:rPr>
      </w:pPr>
    </w:p>
    <w:p w14:paraId="6E1C78F5" w14:textId="02C7676F" w:rsidR="00E81E86" w:rsidRPr="005C5897" w:rsidRDefault="008520E9" w:rsidP="00BE2F51">
      <w:pPr>
        <w:jc w:val="both"/>
        <w:rPr>
          <w:rFonts w:asciiTheme="majorBidi" w:hAnsiTheme="majorBidi" w:cstheme="majorBidi"/>
          <w:color w:val="222222"/>
          <w:shd w:val="clear" w:color="auto" w:fill="FFFFFF"/>
        </w:rPr>
      </w:pPr>
      <w:r w:rsidRPr="008520E9">
        <w:rPr>
          <w:rFonts w:asciiTheme="majorBidi" w:hAnsiTheme="majorBidi" w:cstheme="majorBidi"/>
          <w:color w:val="222222"/>
          <w:shd w:val="clear" w:color="auto" w:fill="FFFFFF"/>
        </w:rPr>
        <w:t xml:space="preserve">After countless </w:t>
      </w:r>
      <w:r w:rsidR="00DC6ED8">
        <w:rPr>
          <w:rFonts w:asciiTheme="majorBidi" w:hAnsiTheme="majorBidi" w:cstheme="majorBidi"/>
          <w:color w:val="222222"/>
          <w:shd w:val="clear" w:color="auto" w:fill="FFFFFF"/>
        </w:rPr>
        <w:t xml:space="preserve">international </w:t>
      </w:r>
      <w:r w:rsidRPr="008520E9">
        <w:rPr>
          <w:rFonts w:asciiTheme="majorBidi" w:hAnsiTheme="majorBidi" w:cstheme="majorBidi"/>
          <w:color w:val="222222"/>
          <w:shd w:val="clear" w:color="auto" w:fill="FFFFFF"/>
        </w:rPr>
        <w:t>laws and bilateral agreements, Italy still has an exceptionally low rate of restitution; many of Italy’s artifacts are still bought and sold throughout the inter</w:t>
      </w:r>
      <w:r w:rsidR="005C5897">
        <w:rPr>
          <w:rFonts w:asciiTheme="majorBidi" w:hAnsiTheme="majorBidi" w:cstheme="majorBidi"/>
          <w:color w:val="222222"/>
          <w:shd w:val="clear" w:color="auto" w:fill="FFFFFF"/>
        </w:rPr>
        <w:t xml:space="preserve">national artifact black market. </w:t>
      </w:r>
      <w:r w:rsidR="00672EA0">
        <w:rPr>
          <w:rFonts w:asciiTheme="majorBidi" w:hAnsiTheme="majorBidi" w:cstheme="majorBidi"/>
          <w:color w:val="222222"/>
          <w:shd w:val="clear" w:color="auto" w:fill="FFFFFF"/>
        </w:rPr>
        <w:t>This paper addresses this</w:t>
      </w:r>
      <w:r w:rsidR="00F65936" w:rsidRPr="008520E9">
        <w:rPr>
          <w:rFonts w:asciiTheme="majorBidi" w:hAnsiTheme="majorBidi" w:cstheme="majorBidi"/>
          <w:color w:val="222222"/>
          <w:shd w:val="clear" w:color="auto" w:fill="FFFFFF"/>
        </w:rPr>
        <w:t xml:space="preserve"> issue of Italian artifact restit</w:t>
      </w:r>
      <w:r w:rsidR="00F65936">
        <w:rPr>
          <w:rFonts w:asciiTheme="majorBidi" w:hAnsiTheme="majorBidi" w:cstheme="majorBidi"/>
          <w:color w:val="222222"/>
          <w:shd w:val="clear" w:color="auto" w:fill="FFFFFF"/>
        </w:rPr>
        <w:t>ution and takes up the question</w:t>
      </w:r>
      <w:r w:rsidR="00F65936" w:rsidRPr="008520E9">
        <w:rPr>
          <w:rFonts w:asciiTheme="majorBidi" w:hAnsiTheme="majorBidi" w:cstheme="majorBidi"/>
          <w:color w:val="222222"/>
          <w:shd w:val="clear" w:color="auto" w:fill="FFFFFF"/>
        </w:rPr>
        <w:t xml:space="preserve">: </w:t>
      </w:r>
      <w:r w:rsidR="00F65936">
        <w:rPr>
          <w:rFonts w:asciiTheme="majorBidi" w:hAnsiTheme="majorBidi" w:cstheme="majorBidi"/>
          <w:color w:val="222222"/>
          <w:shd w:val="clear" w:color="auto" w:fill="FFFFFF"/>
        </w:rPr>
        <w:t>H</w:t>
      </w:r>
      <w:r w:rsidR="00F65936" w:rsidRPr="008520E9">
        <w:rPr>
          <w:rFonts w:asciiTheme="majorBidi" w:hAnsiTheme="majorBidi" w:cstheme="majorBidi"/>
        </w:rPr>
        <w:t xml:space="preserve">ow </w:t>
      </w:r>
      <w:r w:rsidR="00F65936">
        <w:rPr>
          <w:rFonts w:asciiTheme="majorBidi" w:hAnsiTheme="majorBidi" w:cstheme="majorBidi"/>
        </w:rPr>
        <w:t>do</w:t>
      </w:r>
      <w:r w:rsidR="00F65936" w:rsidRPr="008520E9">
        <w:rPr>
          <w:rFonts w:asciiTheme="majorBidi" w:hAnsiTheme="majorBidi" w:cstheme="majorBidi"/>
        </w:rPr>
        <w:t xml:space="preserve"> international actors such as museums and government task forces </w:t>
      </w:r>
      <w:r w:rsidR="00F65936">
        <w:rPr>
          <w:rFonts w:asciiTheme="majorBidi" w:hAnsiTheme="majorBidi" w:cstheme="majorBidi"/>
        </w:rPr>
        <w:t>construct</w:t>
      </w:r>
      <w:r w:rsidR="00F65936" w:rsidRPr="008520E9">
        <w:rPr>
          <w:rFonts w:asciiTheme="majorBidi" w:hAnsiTheme="majorBidi" w:cstheme="majorBidi"/>
        </w:rPr>
        <w:t xml:space="preserve"> meanings about ownership?</w:t>
      </w:r>
      <w:r w:rsidR="005C5897">
        <w:rPr>
          <w:rFonts w:asciiTheme="majorBidi" w:hAnsiTheme="majorBidi" w:cstheme="majorBidi"/>
        </w:rPr>
        <w:t xml:space="preserve"> </w:t>
      </w:r>
      <w:r w:rsidR="0095774F">
        <w:rPr>
          <w:rFonts w:asciiTheme="majorBidi" w:hAnsiTheme="majorBidi" w:cstheme="majorBidi"/>
          <w:color w:val="222222"/>
          <w:shd w:val="clear" w:color="auto" w:fill="FFFFFF"/>
        </w:rPr>
        <w:t>Current scholars approach restitution using economic theory to address postcolonial economic structures, social theory to analyze imperial symbolism within museums, and legal theory to consider the role of bilateral agreements</w:t>
      </w:r>
      <w:r w:rsidR="005C5897">
        <w:rPr>
          <w:rFonts w:asciiTheme="majorBidi" w:hAnsiTheme="majorBidi" w:cstheme="majorBidi"/>
          <w:color w:val="222222"/>
          <w:shd w:val="clear" w:color="auto" w:fill="FFFFFF"/>
        </w:rPr>
        <w:t xml:space="preserve"> and international legal norms. </w:t>
      </w:r>
      <w:r w:rsidRPr="008520E9">
        <w:rPr>
          <w:rFonts w:asciiTheme="majorBidi" w:hAnsiTheme="majorBidi" w:cstheme="majorBidi"/>
          <w:color w:val="222222"/>
          <w:shd w:val="clear" w:color="auto" w:fill="FFFFFF"/>
        </w:rPr>
        <w:t xml:space="preserve">However, there is </w:t>
      </w:r>
      <w:r w:rsidR="0095774F" w:rsidRPr="008520E9">
        <w:rPr>
          <w:rFonts w:asciiTheme="majorBidi" w:hAnsiTheme="majorBidi" w:cstheme="majorBidi"/>
          <w:color w:val="222222"/>
          <w:shd w:val="clear" w:color="auto" w:fill="FFFFFF"/>
        </w:rPr>
        <w:t>an</w:t>
      </w:r>
      <w:r w:rsidRPr="008520E9">
        <w:rPr>
          <w:rFonts w:asciiTheme="majorBidi" w:hAnsiTheme="majorBidi" w:cstheme="majorBidi"/>
          <w:color w:val="222222"/>
          <w:shd w:val="clear" w:color="auto" w:fill="FFFFFF"/>
        </w:rPr>
        <w:t xml:space="preserve"> </w:t>
      </w:r>
      <w:r w:rsidR="0095774F" w:rsidRPr="008520E9">
        <w:rPr>
          <w:rFonts w:asciiTheme="majorBidi" w:hAnsiTheme="majorBidi" w:cstheme="majorBidi"/>
          <w:color w:val="222222"/>
          <w:shd w:val="clear" w:color="auto" w:fill="FFFFFF"/>
        </w:rPr>
        <w:t>absence</w:t>
      </w:r>
      <w:r w:rsidRPr="008520E9">
        <w:rPr>
          <w:rFonts w:asciiTheme="majorBidi" w:hAnsiTheme="majorBidi" w:cstheme="majorBidi"/>
          <w:color w:val="222222"/>
          <w:shd w:val="clear" w:color="auto" w:fill="FFFFFF"/>
        </w:rPr>
        <w:t xml:space="preserve"> of </w:t>
      </w:r>
      <w:r w:rsidR="00326E39">
        <w:rPr>
          <w:rFonts w:asciiTheme="majorBidi" w:hAnsiTheme="majorBidi" w:cstheme="majorBidi"/>
          <w:color w:val="222222"/>
          <w:shd w:val="clear" w:color="auto" w:fill="FFFFFF"/>
        </w:rPr>
        <w:t>research into</w:t>
      </w:r>
      <w:r w:rsidRPr="008520E9">
        <w:rPr>
          <w:rFonts w:asciiTheme="majorBidi" w:hAnsiTheme="majorBidi" w:cstheme="majorBidi"/>
          <w:color w:val="222222"/>
          <w:shd w:val="clear" w:color="auto" w:fill="FFFFFF"/>
        </w:rPr>
        <w:t xml:space="preserve"> </w:t>
      </w:r>
      <w:r w:rsidR="0095774F">
        <w:rPr>
          <w:rFonts w:asciiTheme="majorBidi" w:hAnsiTheme="majorBidi" w:cstheme="majorBidi"/>
          <w:color w:val="222222"/>
          <w:shd w:val="clear" w:color="auto" w:fill="FFFFFF"/>
        </w:rPr>
        <w:t>the way that international restitution taskforces and museums frame ownership</w:t>
      </w:r>
      <w:r w:rsidR="005C5897">
        <w:rPr>
          <w:rFonts w:asciiTheme="majorBidi" w:hAnsiTheme="majorBidi" w:cstheme="majorBidi"/>
          <w:color w:val="222222"/>
          <w:shd w:val="clear" w:color="auto" w:fill="FFFFFF"/>
        </w:rPr>
        <w:t xml:space="preserve">. </w:t>
      </w:r>
      <w:r w:rsidR="00645E5E">
        <w:rPr>
          <w:rFonts w:asciiTheme="majorBidi" w:hAnsiTheme="majorBidi" w:cstheme="majorBidi"/>
          <w:color w:val="222222"/>
          <w:shd w:val="clear" w:color="auto" w:fill="FFFFFF"/>
        </w:rPr>
        <w:t xml:space="preserve">To </w:t>
      </w:r>
      <w:r w:rsidR="00023F35">
        <w:rPr>
          <w:rFonts w:asciiTheme="majorBidi" w:hAnsiTheme="majorBidi" w:cstheme="majorBidi"/>
          <w:color w:val="222222"/>
          <w:shd w:val="clear" w:color="auto" w:fill="FFFFFF"/>
        </w:rPr>
        <w:t>address</w:t>
      </w:r>
      <w:r w:rsidR="00645E5E">
        <w:rPr>
          <w:rFonts w:asciiTheme="majorBidi" w:hAnsiTheme="majorBidi" w:cstheme="majorBidi"/>
          <w:color w:val="222222"/>
          <w:shd w:val="clear" w:color="auto" w:fill="FFFFFF"/>
        </w:rPr>
        <w:t xml:space="preserve"> this gap</w:t>
      </w:r>
      <w:r w:rsidR="0095774F">
        <w:rPr>
          <w:rFonts w:asciiTheme="majorBidi" w:hAnsiTheme="majorBidi" w:cstheme="majorBidi"/>
          <w:color w:val="222222"/>
          <w:shd w:val="clear" w:color="auto" w:fill="FFFFFF"/>
        </w:rPr>
        <w:t xml:space="preserve">, </w:t>
      </w:r>
      <w:r w:rsidRPr="008520E9">
        <w:rPr>
          <w:rFonts w:asciiTheme="majorBidi" w:hAnsiTheme="majorBidi" w:cstheme="majorBidi"/>
          <w:color w:val="222222"/>
          <w:shd w:val="clear" w:color="auto" w:fill="FFFFFF"/>
        </w:rPr>
        <w:t xml:space="preserve">I evaluated discourses from Italian and U.S. news sources, official webpages of museums and taskforces, and Twitter </w:t>
      </w:r>
      <w:bookmarkStart w:id="1" w:name="OLE_LINK3"/>
      <w:bookmarkStart w:id="2" w:name="OLE_LINK4"/>
      <w:r w:rsidR="0095774F" w:rsidRPr="008520E9">
        <w:rPr>
          <w:rFonts w:asciiTheme="majorBidi" w:hAnsiTheme="majorBidi" w:cstheme="majorBidi"/>
          <w:color w:val="222222"/>
          <w:shd w:val="clear" w:color="auto" w:fill="FFFFFF"/>
        </w:rPr>
        <w:t>communiqué</w:t>
      </w:r>
      <w:r w:rsidR="00E81E86">
        <w:rPr>
          <w:rFonts w:asciiTheme="majorBidi" w:hAnsiTheme="majorBidi" w:cstheme="majorBidi"/>
          <w:color w:val="222222"/>
          <w:shd w:val="clear" w:color="auto" w:fill="FFFFFF"/>
        </w:rPr>
        <w:t>s</w:t>
      </w:r>
      <w:r w:rsidRPr="008520E9">
        <w:rPr>
          <w:rFonts w:asciiTheme="majorBidi" w:hAnsiTheme="majorBidi" w:cstheme="majorBidi"/>
          <w:color w:val="222222"/>
          <w:shd w:val="clear" w:color="auto" w:fill="FFFFFF"/>
        </w:rPr>
        <w:t xml:space="preserve"> </w:t>
      </w:r>
      <w:bookmarkEnd w:id="1"/>
      <w:bookmarkEnd w:id="2"/>
      <w:r w:rsidRPr="008520E9">
        <w:rPr>
          <w:rFonts w:asciiTheme="majorBidi" w:hAnsiTheme="majorBidi" w:cstheme="majorBidi"/>
          <w:color w:val="222222"/>
          <w:shd w:val="clear" w:color="auto" w:fill="FFFFFF"/>
        </w:rPr>
        <w:t xml:space="preserve">between </w:t>
      </w:r>
      <w:r w:rsidR="00E81E86">
        <w:rPr>
          <w:rFonts w:asciiTheme="majorBidi" w:hAnsiTheme="majorBidi" w:cstheme="majorBidi"/>
          <w:color w:val="222222"/>
          <w:shd w:val="clear" w:color="auto" w:fill="FFFFFF"/>
        </w:rPr>
        <w:t>museums and taskforces.</w:t>
      </w:r>
      <w:r w:rsidR="005C5897">
        <w:rPr>
          <w:rFonts w:asciiTheme="majorBidi" w:hAnsiTheme="majorBidi" w:cstheme="majorBidi"/>
          <w:color w:val="222222"/>
          <w:shd w:val="clear" w:color="auto" w:fill="FFFFFF"/>
        </w:rPr>
        <w:t xml:space="preserve"> </w:t>
      </w:r>
      <w:r w:rsidR="00645E5E" w:rsidRPr="008520E9">
        <w:rPr>
          <w:rFonts w:asciiTheme="majorBidi" w:hAnsiTheme="majorBidi" w:cstheme="majorBidi"/>
          <w:color w:val="222222"/>
          <w:shd w:val="clear" w:color="auto" w:fill="FFFFFF"/>
        </w:rPr>
        <w:t xml:space="preserve">This </w:t>
      </w:r>
      <w:r w:rsidR="00645E5E">
        <w:rPr>
          <w:rFonts w:asciiTheme="majorBidi" w:hAnsiTheme="majorBidi" w:cstheme="majorBidi"/>
          <w:color w:val="222222"/>
          <w:shd w:val="clear" w:color="auto" w:fill="FFFFFF"/>
        </w:rPr>
        <w:t>discourse analysis reveals</w:t>
      </w:r>
      <w:r w:rsidR="00645E5E" w:rsidRPr="008520E9">
        <w:rPr>
          <w:rFonts w:asciiTheme="majorBidi" w:hAnsiTheme="majorBidi" w:cstheme="majorBidi"/>
          <w:color w:val="222222"/>
          <w:shd w:val="clear" w:color="auto" w:fill="FFFFFF"/>
        </w:rPr>
        <w:t xml:space="preserve"> </w:t>
      </w:r>
      <w:r w:rsidR="00645E5E">
        <w:rPr>
          <w:rFonts w:asciiTheme="majorBidi" w:hAnsiTheme="majorBidi" w:cstheme="majorBidi"/>
          <w:color w:val="222222"/>
          <w:shd w:val="clear" w:color="auto" w:fill="FFFFFF"/>
        </w:rPr>
        <w:t>that</w:t>
      </w:r>
      <w:r w:rsidR="00645E5E" w:rsidRPr="008520E9">
        <w:rPr>
          <w:rFonts w:asciiTheme="majorBidi" w:hAnsiTheme="majorBidi" w:cstheme="majorBidi"/>
          <w:color w:val="222222"/>
          <w:shd w:val="clear" w:color="auto" w:fill="FFFFFF"/>
        </w:rPr>
        <w:t xml:space="preserve"> U.S. and Italian taskforces </w:t>
      </w:r>
      <w:r w:rsidR="00645E5E">
        <w:rPr>
          <w:rFonts w:asciiTheme="majorBidi" w:hAnsiTheme="majorBidi" w:cstheme="majorBidi"/>
          <w:color w:val="222222"/>
          <w:shd w:val="clear" w:color="auto" w:fill="FFFFFF"/>
        </w:rPr>
        <w:t>operate with similar meanings of ownership</w:t>
      </w:r>
      <w:r w:rsidR="00BE2F51">
        <w:rPr>
          <w:rFonts w:asciiTheme="majorBidi" w:hAnsiTheme="majorBidi" w:cstheme="majorBidi"/>
          <w:color w:val="222222"/>
          <w:shd w:val="clear" w:color="auto" w:fill="FFFFFF"/>
        </w:rPr>
        <w:t>,</w:t>
      </w:r>
      <w:r w:rsidR="00645E5E">
        <w:rPr>
          <w:rFonts w:asciiTheme="majorBidi" w:hAnsiTheme="majorBidi" w:cstheme="majorBidi"/>
          <w:color w:val="222222"/>
          <w:shd w:val="clear" w:color="auto" w:fill="FFFFFF"/>
        </w:rPr>
        <w:t xml:space="preserve"> while U</w:t>
      </w:r>
      <w:r w:rsidR="005C5897">
        <w:rPr>
          <w:rFonts w:asciiTheme="majorBidi" w:hAnsiTheme="majorBidi" w:cstheme="majorBidi"/>
          <w:color w:val="222222"/>
          <w:shd w:val="clear" w:color="auto" w:fill="FFFFFF"/>
        </w:rPr>
        <w:t xml:space="preserve">.S. and Italian museums do not. </w:t>
      </w:r>
      <w:r w:rsidR="00672EA0">
        <w:rPr>
          <w:rFonts w:asciiTheme="majorBidi" w:hAnsiTheme="majorBidi" w:cstheme="majorBidi"/>
          <w:color w:val="222222"/>
          <w:shd w:val="clear" w:color="auto" w:fill="FFFFFF"/>
        </w:rPr>
        <w:t xml:space="preserve">Furthermore, </w:t>
      </w:r>
      <w:r w:rsidRPr="008520E9">
        <w:rPr>
          <w:rFonts w:asciiTheme="majorBidi" w:hAnsiTheme="majorBidi" w:cstheme="majorBidi"/>
          <w:color w:val="222222"/>
          <w:shd w:val="clear" w:color="auto" w:fill="FFFFFF"/>
        </w:rPr>
        <w:t xml:space="preserve">I argue that </w:t>
      </w:r>
      <w:r w:rsidR="009F1BC1">
        <w:rPr>
          <w:rFonts w:asciiTheme="majorBidi" w:hAnsiTheme="majorBidi" w:cstheme="majorBidi"/>
          <w:color w:val="222222"/>
          <w:shd w:val="clear" w:color="auto" w:fill="FFFFFF"/>
        </w:rPr>
        <w:t xml:space="preserve">there is </w:t>
      </w:r>
      <w:r w:rsidR="00BE2F51">
        <w:rPr>
          <w:rFonts w:asciiTheme="majorBidi" w:hAnsiTheme="majorBidi" w:cstheme="majorBidi"/>
          <w:color w:val="222222"/>
          <w:shd w:val="clear" w:color="auto" w:fill="FFFFFF"/>
        </w:rPr>
        <w:t>very little</w:t>
      </w:r>
      <w:r w:rsidR="009F1BC1" w:rsidRPr="008520E9">
        <w:rPr>
          <w:rFonts w:asciiTheme="majorBidi" w:hAnsiTheme="majorBidi" w:cstheme="majorBidi"/>
          <w:color w:val="222222"/>
          <w:shd w:val="clear" w:color="auto" w:fill="FFFFFF"/>
        </w:rPr>
        <w:t xml:space="preserve"> interactive meaning making about ownership between museums and taskforces</w:t>
      </w:r>
      <w:r w:rsidR="00C05752">
        <w:rPr>
          <w:rFonts w:asciiTheme="majorBidi" w:hAnsiTheme="majorBidi" w:cstheme="majorBidi"/>
          <w:color w:val="222222"/>
          <w:shd w:val="clear" w:color="auto" w:fill="FFFFFF"/>
        </w:rPr>
        <w:t>:</w:t>
      </w:r>
      <w:r w:rsidR="00E46566">
        <w:rPr>
          <w:rFonts w:asciiTheme="majorBidi" w:hAnsiTheme="majorBidi" w:cstheme="majorBidi"/>
          <w:color w:val="222222"/>
          <w:shd w:val="clear" w:color="auto" w:fill="FFFFFF"/>
        </w:rPr>
        <w:t xml:space="preserve"> museums fundamentally understand ownership differently than taskforces.</w:t>
      </w:r>
      <w:r w:rsidR="005C5897">
        <w:rPr>
          <w:rFonts w:asciiTheme="majorBidi" w:hAnsiTheme="majorBidi" w:cstheme="majorBidi"/>
          <w:color w:val="222222"/>
          <w:shd w:val="clear" w:color="auto" w:fill="FFFFFF"/>
        </w:rPr>
        <w:t xml:space="preserve"> This disconnect speaks to the larger debate w</w:t>
      </w:r>
      <w:r w:rsidR="00C05752">
        <w:rPr>
          <w:rFonts w:asciiTheme="majorBidi" w:hAnsiTheme="majorBidi" w:cstheme="majorBidi"/>
          <w:color w:val="222222"/>
          <w:shd w:val="clear" w:color="auto" w:fill="FFFFFF"/>
        </w:rPr>
        <w:t>ithin the antiquity community about who owns history.</w:t>
      </w:r>
    </w:p>
    <w:p w14:paraId="0C8A449B" w14:textId="77777777" w:rsidR="00D14C0E" w:rsidRDefault="00D14C0E" w:rsidP="001417E8">
      <w:pPr>
        <w:rPr>
          <w:rFonts w:asciiTheme="majorBidi" w:hAnsiTheme="majorBidi" w:cstheme="majorBidi"/>
          <w:b/>
          <w:bCs/>
        </w:rPr>
      </w:pPr>
    </w:p>
    <w:p w14:paraId="5237FB2D" w14:textId="33434B29" w:rsidR="00790991" w:rsidRDefault="008520E9" w:rsidP="00C05752">
      <w:pPr>
        <w:pBdr>
          <w:bottom w:val="single" w:sz="4" w:space="1" w:color="auto"/>
        </w:pBdr>
        <w:spacing w:line="480" w:lineRule="auto"/>
        <w:rPr>
          <w:rFonts w:asciiTheme="majorBidi" w:hAnsiTheme="majorBidi" w:cstheme="majorBidi"/>
          <w:i/>
          <w:iCs/>
        </w:rPr>
      </w:pPr>
      <w:r>
        <w:rPr>
          <w:rFonts w:asciiTheme="majorBidi" w:hAnsiTheme="majorBidi" w:cstheme="majorBidi"/>
          <w:b/>
          <w:bCs/>
        </w:rPr>
        <w:t>Keywords</w:t>
      </w:r>
      <w:r w:rsidR="00C05752">
        <w:rPr>
          <w:rFonts w:asciiTheme="majorBidi" w:hAnsiTheme="majorBidi" w:cstheme="majorBidi"/>
          <w:b/>
          <w:bCs/>
        </w:rPr>
        <w:t>:</w:t>
      </w:r>
      <w:r>
        <w:rPr>
          <w:rFonts w:asciiTheme="majorBidi" w:hAnsiTheme="majorBidi" w:cstheme="majorBidi"/>
          <w:b/>
          <w:bCs/>
        </w:rPr>
        <w:t xml:space="preserve"> </w:t>
      </w:r>
      <w:r w:rsidRPr="00A86397">
        <w:rPr>
          <w:rFonts w:asciiTheme="majorBidi" w:hAnsiTheme="majorBidi" w:cstheme="majorBidi"/>
          <w:i/>
          <w:iCs/>
        </w:rPr>
        <w:t xml:space="preserve">UNESCO; </w:t>
      </w:r>
      <w:r w:rsidR="00790991" w:rsidRPr="00A86397">
        <w:rPr>
          <w:rFonts w:asciiTheme="majorBidi" w:hAnsiTheme="majorBidi" w:cstheme="majorBidi"/>
          <w:i/>
          <w:iCs/>
        </w:rPr>
        <w:t xml:space="preserve">artifact </w:t>
      </w:r>
      <w:r w:rsidRPr="00A86397">
        <w:rPr>
          <w:rFonts w:asciiTheme="majorBidi" w:hAnsiTheme="majorBidi" w:cstheme="majorBidi"/>
          <w:i/>
          <w:iCs/>
        </w:rPr>
        <w:t xml:space="preserve">restitution; </w:t>
      </w:r>
      <w:r w:rsidR="00BA0A96">
        <w:rPr>
          <w:rFonts w:asciiTheme="majorBidi" w:hAnsiTheme="majorBidi" w:cstheme="majorBidi"/>
          <w:i/>
          <w:iCs/>
        </w:rPr>
        <w:t>provenance;</w:t>
      </w:r>
      <w:r w:rsidRPr="00A86397">
        <w:rPr>
          <w:rFonts w:asciiTheme="majorBidi" w:hAnsiTheme="majorBidi" w:cstheme="majorBidi"/>
          <w:i/>
          <w:iCs/>
        </w:rPr>
        <w:t xml:space="preserve"> ownership</w:t>
      </w:r>
      <w:r w:rsidR="00D97D08">
        <w:rPr>
          <w:rFonts w:asciiTheme="majorBidi" w:hAnsiTheme="majorBidi" w:cstheme="majorBidi"/>
          <w:i/>
          <w:iCs/>
        </w:rPr>
        <w:t>; Italian</w:t>
      </w:r>
      <w:r w:rsidR="00E078E8">
        <w:rPr>
          <w:rFonts w:asciiTheme="majorBidi" w:hAnsiTheme="majorBidi" w:cstheme="majorBidi"/>
          <w:i/>
          <w:iCs/>
        </w:rPr>
        <w:t>-U.S. relation</w:t>
      </w:r>
      <w:r w:rsidR="0097056E">
        <w:rPr>
          <w:rFonts w:asciiTheme="majorBidi" w:hAnsiTheme="majorBidi" w:cstheme="majorBidi"/>
          <w:i/>
          <w:iCs/>
        </w:rPr>
        <w:t>s.</w:t>
      </w:r>
    </w:p>
    <w:p w14:paraId="739B2081" w14:textId="7803A271" w:rsidR="003E3A0B" w:rsidRDefault="003E3A0B" w:rsidP="003E3A0B">
      <w:pPr>
        <w:pBdr>
          <w:bottom w:val="single" w:sz="4" w:space="1" w:color="auto"/>
        </w:pBdr>
        <w:rPr>
          <w:rFonts w:asciiTheme="majorBidi" w:hAnsiTheme="majorBidi" w:cstheme="majorBidi"/>
        </w:rPr>
      </w:pPr>
      <w:r w:rsidRPr="003E3A0B">
        <w:rPr>
          <w:rFonts w:asciiTheme="majorBidi" w:hAnsiTheme="majorBidi" w:cstheme="majorBidi"/>
          <w:b/>
          <w:bCs/>
        </w:rPr>
        <w:t>Definitions</w:t>
      </w:r>
      <w:r w:rsidR="00C05752">
        <w:rPr>
          <w:rFonts w:asciiTheme="majorBidi" w:hAnsiTheme="majorBidi" w:cstheme="majorBidi"/>
          <w:b/>
          <w:bCs/>
        </w:rPr>
        <w:t>:</w:t>
      </w:r>
      <w:r w:rsidR="00C05752">
        <w:rPr>
          <w:rFonts w:asciiTheme="majorBidi" w:hAnsiTheme="majorBidi" w:cstheme="majorBidi"/>
        </w:rPr>
        <w:t xml:space="preserve"> provenance:</w:t>
      </w:r>
      <w:r>
        <w:rPr>
          <w:rFonts w:asciiTheme="majorBidi" w:hAnsiTheme="majorBidi" w:cstheme="majorBidi"/>
        </w:rPr>
        <w:t xml:space="preserve"> the history of ownership of an artifact; restitution and repatriation: the return of </w:t>
      </w:r>
      <w:r>
        <w:rPr>
          <w:rFonts w:asciiTheme="majorBidi" w:hAnsiTheme="majorBidi" w:cstheme="majorBidi"/>
          <w:i/>
          <w:iCs/>
        </w:rPr>
        <w:t>stolen</w:t>
      </w:r>
      <w:r w:rsidR="00874CC1">
        <w:rPr>
          <w:rFonts w:asciiTheme="majorBidi" w:hAnsiTheme="majorBidi" w:cstheme="majorBidi"/>
        </w:rPr>
        <w:t xml:space="preserve"> artifacts or</w:t>
      </w:r>
      <w:r>
        <w:rPr>
          <w:rFonts w:asciiTheme="majorBidi" w:hAnsiTheme="majorBidi" w:cstheme="majorBidi"/>
        </w:rPr>
        <w:t xml:space="preserve"> cultural objects</w:t>
      </w:r>
      <w:r w:rsidR="00596A89">
        <w:rPr>
          <w:rFonts w:asciiTheme="majorBidi" w:hAnsiTheme="majorBidi" w:cstheme="majorBidi"/>
        </w:rPr>
        <w:t>.</w:t>
      </w:r>
    </w:p>
    <w:p w14:paraId="35A1797F" w14:textId="77777777" w:rsidR="003E3A0B" w:rsidRPr="003E3A0B" w:rsidRDefault="003E3A0B" w:rsidP="003E3A0B">
      <w:pPr>
        <w:pBdr>
          <w:bottom w:val="single" w:sz="4" w:space="1" w:color="auto"/>
        </w:pBdr>
        <w:rPr>
          <w:rFonts w:asciiTheme="majorBidi" w:hAnsiTheme="majorBidi" w:cstheme="majorBidi"/>
        </w:rPr>
      </w:pPr>
    </w:p>
    <w:p w14:paraId="3D0B70E0" w14:textId="77777777" w:rsidR="008520E9" w:rsidRDefault="008520E9" w:rsidP="001417E8">
      <w:pPr>
        <w:rPr>
          <w:rFonts w:asciiTheme="majorBidi" w:hAnsiTheme="majorBidi" w:cstheme="majorBidi"/>
          <w:b/>
          <w:bCs/>
        </w:rPr>
      </w:pPr>
    </w:p>
    <w:p w14:paraId="7AF613F1" w14:textId="77777777" w:rsidR="008520E9" w:rsidRDefault="008520E9" w:rsidP="001417E8">
      <w:pPr>
        <w:rPr>
          <w:rFonts w:asciiTheme="majorBidi" w:hAnsiTheme="majorBidi" w:cstheme="majorBidi"/>
          <w:b/>
          <w:bCs/>
        </w:rPr>
      </w:pPr>
    </w:p>
    <w:p w14:paraId="2EFE8E3A" w14:textId="76A31C30" w:rsidR="00033496" w:rsidRPr="001417E8" w:rsidRDefault="00033496" w:rsidP="001417E8">
      <w:pPr>
        <w:rPr>
          <w:rFonts w:asciiTheme="majorBidi" w:hAnsiTheme="majorBidi" w:cstheme="majorBidi"/>
          <w:b/>
          <w:bCs/>
        </w:rPr>
      </w:pPr>
      <w:r>
        <w:rPr>
          <w:rFonts w:asciiTheme="majorBidi" w:hAnsiTheme="majorBidi" w:cstheme="majorBidi"/>
          <w:b/>
          <w:bCs/>
        </w:rPr>
        <w:t xml:space="preserve">Introduction </w:t>
      </w:r>
    </w:p>
    <w:p w14:paraId="1C57693A" w14:textId="5F4ADE7C" w:rsidR="002F4CF2" w:rsidRPr="000E51B6" w:rsidRDefault="002F4CF2" w:rsidP="007C4029">
      <w:pPr>
        <w:rPr>
          <w:rFonts w:asciiTheme="majorBidi" w:hAnsiTheme="majorBidi" w:cstheme="majorBidi"/>
        </w:rPr>
      </w:pPr>
    </w:p>
    <w:p w14:paraId="2E80D581" w14:textId="77777777" w:rsidR="00BC5E62" w:rsidRDefault="008C30FA" w:rsidP="0019439F">
      <w:pPr>
        <w:widowControl w:val="0"/>
        <w:tabs>
          <w:tab w:val="left" w:pos="720"/>
        </w:tabs>
        <w:autoSpaceDE w:val="0"/>
        <w:autoSpaceDN w:val="0"/>
        <w:adjustRightInd w:val="0"/>
        <w:spacing w:line="480" w:lineRule="auto"/>
        <w:rPr>
          <w:rFonts w:asciiTheme="majorBidi" w:hAnsiTheme="majorBidi" w:cstheme="majorBidi"/>
          <w:color w:val="000000"/>
        </w:rPr>
      </w:pPr>
      <w:r>
        <w:rPr>
          <w:rFonts w:asciiTheme="majorBidi" w:eastAsia="Times New Roman" w:hAnsiTheme="majorBidi" w:cstheme="majorBidi"/>
        </w:rPr>
        <w:tab/>
      </w:r>
      <w:r w:rsidR="003F1126">
        <w:rPr>
          <w:rFonts w:asciiTheme="majorBidi" w:hAnsiTheme="majorBidi" w:cstheme="majorBidi"/>
          <w:color w:val="000000"/>
        </w:rPr>
        <w:t>The use of artifacts</w:t>
      </w:r>
      <w:r w:rsidR="00814440">
        <w:rPr>
          <w:rFonts w:asciiTheme="majorBidi" w:hAnsiTheme="majorBidi" w:cstheme="majorBidi"/>
          <w:color w:val="000000"/>
        </w:rPr>
        <w:t xml:space="preserve"> as </w:t>
      </w:r>
      <w:r w:rsidR="003F1126">
        <w:rPr>
          <w:rFonts w:asciiTheme="majorBidi" w:hAnsiTheme="majorBidi" w:cstheme="majorBidi"/>
          <w:color w:val="000000"/>
        </w:rPr>
        <w:t>symbol</w:t>
      </w:r>
      <w:r w:rsidR="00814440">
        <w:rPr>
          <w:rFonts w:asciiTheme="majorBidi" w:hAnsiTheme="majorBidi" w:cstheme="majorBidi"/>
          <w:color w:val="000000"/>
        </w:rPr>
        <w:t>s</w:t>
      </w:r>
      <w:r w:rsidR="003F1126">
        <w:rPr>
          <w:rFonts w:asciiTheme="majorBidi" w:hAnsiTheme="majorBidi" w:cstheme="majorBidi"/>
          <w:color w:val="000000"/>
        </w:rPr>
        <w:t xml:space="preserve"> of imperial dominance began with the first civilizations.</w:t>
      </w:r>
      <w:r w:rsidR="00AA72AA">
        <w:rPr>
          <w:rFonts w:asciiTheme="majorBidi" w:hAnsiTheme="majorBidi" w:cstheme="majorBidi"/>
          <w:color w:val="000000"/>
        </w:rPr>
        <w:t xml:space="preserve"> Take the Roman Empire as a prime example.</w:t>
      </w:r>
      <w:r w:rsidR="003F1126">
        <w:rPr>
          <w:rFonts w:asciiTheme="majorBidi" w:hAnsiTheme="majorBidi" w:cstheme="majorBidi"/>
          <w:color w:val="000000"/>
        </w:rPr>
        <w:t xml:space="preserve"> </w:t>
      </w:r>
      <w:r w:rsidR="00AA72AA">
        <w:rPr>
          <w:rFonts w:asciiTheme="majorBidi" w:hAnsiTheme="majorBidi" w:cstheme="majorBidi"/>
          <w:color w:val="000000"/>
        </w:rPr>
        <w:t>In 49 B.C.</w:t>
      </w:r>
      <w:r w:rsidR="005A471C">
        <w:rPr>
          <w:rFonts w:asciiTheme="majorBidi" w:hAnsiTheme="majorBidi" w:cstheme="majorBidi"/>
          <w:color w:val="000000"/>
        </w:rPr>
        <w:t>E</w:t>
      </w:r>
      <w:r w:rsidR="00AA72AA">
        <w:rPr>
          <w:rFonts w:asciiTheme="majorBidi" w:hAnsiTheme="majorBidi" w:cstheme="majorBidi"/>
          <w:color w:val="000000"/>
        </w:rPr>
        <w:t>.,</w:t>
      </w:r>
      <w:r w:rsidR="00446F73">
        <w:rPr>
          <w:rFonts w:asciiTheme="majorBidi" w:hAnsiTheme="majorBidi" w:cstheme="majorBidi"/>
          <w:color w:val="000000"/>
        </w:rPr>
        <w:t xml:space="preserve"> </w:t>
      </w:r>
      <w:r w:rsidR="00AA72AA">
        <w:rPr>
          <w:rFonts w:asciiTheme="majorBidi" w:hAnsiTheme="majorBidi" w:cstheme="majorBidi"/>
          <w:color w:val="000000"/>
        </w:rPr>
        <w:t>Julius Caesar conquered Egypt after defusing</w:t>
      </w:r>
      <w:r w:rsidR="005A471C">
        <w:rPr>
          <w:rFonts w:asciiTheme="majorBidi" w:hAnsiTheme="majorBidi" w:cstheme="majorBidi"/>
          <w:color w:val="000000"/>
        </w:rPr>
        <w:t xml:space="preserve"> a fierce civil war</w:t>
      </w:r>
      <w:r w:rsidR="00E769B2">
        <w:rPr>
          <w:rFonts w:asciiTheme="majorBidi" w:hAnsiTheme="majorBidi" w:cstheme="majorBidi"/>
          <w:color w:val="000000"/>
        </w:rPr>
        <w:t xml:space="preserve"> between Cleopatra and </w:t>
      </w:r>
      <w:r w:rsidR="00186E2B">
        <w:rPr>
          <w:rFonts w:asciiTheme="majorBidi" w:hAnsiTheme="majorBidi" w:cstheme="majorBidi"/>
          <w:color w:val="000000"/>
        </w:rPr>
        <w:t xml:space="preserve">her brother </w:t>
      </w:r>
      <w:r w:rsidR="00E769B2">
        <w:rPr>
          <w:rFonts w:asciiTheme="majorBidi" w:hAnsiTheme="majorBidi" w:cstheme="majorBidi"/>
          <w:color w:val="000000"/>
        </w:rPr>
        <w:t>Ptolemy</w:t>
      </w:r>
      <w:r w:rsidR="00165A35">
        <w:rPr>
          <w:rFonts w:asciiTheme="majorBidi" w:hAnsiTheme="majorBidi" w:cstheme="majorBidi"/>
          <w:color w:val="000000"/>
        </w:rPr>
        <w:t xml:space="preserve">. </w:t>
      </w:r>
      <w:r w:rsidR="00DB1D86" w:rsidRPr="001C2369">
        <w:rPr>
          <w:rFonts w:asciiTheme="majorBidi" w:hAnsiTheme="majorBidi" w:cstheme="majorBidi"/>
          <w:color w:val="000000"/>
        </w:rPr>
        <w:t xml:space="preserve">To assert power, Caesar </w:t>
      </w:r>
      <w:r w:rsidR="003F1126">
        <w:rPr>
          <w:rFonts w:asciiTheme="majorBidi" w:hAnsiTheme="majorBidi" w:cstheme="majorBidi"/>
          <w:color w:val="000000"/>
        </w:rPr>
        <w:t>stole</w:t>
      </w:r>
      <w:r w:rsidR="00446F73">
        <w:rPr>
          <w:rFonts w:asciiTheme="majorBidi" w:hAnsiTheme="majorBidi" w:cstheme="majorBidi"/>
          <w:color w:val="000000"/>
        </w:rPr>
        <w:t xml:space="preserve"> </w:t>
      </w:r>
      <w:r w:rsidR="00186E2B">
        <w:rPr>
          <w:rFonts w:asciiTheme="majorBidi" w:hAnsiTheme="majorBidi" w:cstheme="majorBidi"/>
          <w:color w:val="000000"/>
        </w:rPr>
        <w:t>countless artifacts</w:t>
      </w:r>
      <w:r w:rsidR="00C05752">
        <w:rPr>
          <w:rFonts w:asciiTheme="majorBidi" w:hAnsiTheme="majorBidi" w:cstheme="majorBidi"/>
          <w:color w:val="000000"/>
        </w:rPr>
        <w:t>,</w:t>
      </w:r>
      <w:r w:rsidR="00186E2B">
        <w:rPr>
          <w:rFonts w:asciiTheme="majorBidi" w:hAnsiTheme="majorBidi" w:cstheme="majorBidi"/>
          <w:color w:val="000000"/>
        </w:rPr>
        <w:t xml:space="preserve"> such as </w:t>
      </w:r>
      <w:r w:rsidR="00DB1D86" w:rsidRPr="001C2369">
        <w:rPr>
          <w:rFonts w:asciiTheme="majorBidi" w:hAnsiTheme="majorBidi" w:cstheme="majorBidi"/>
          <w:color w:val="000000"/>
        </w:rPr>
        <w:t xml:space="preserve">magnificent limestone </w:t>
      </w:r>
      <w:r w:rsidR="00DB1D86">
        <w:rPr>
          <w:rFonts w:asciiTheme="majorBidi" w:hAnsiTheme="majorBidi" w:cstheme="majorBidi"/>
          <w:color w:val="000000"/>
        </w:rPr>
        <w:t>obelisks</w:t>
      </w:r>
      <w:r w:rsidR="00C05752">
        <w:rPr>
          <w:rFonts w:asciiTheme="majorBidi" w:hAnsiTheme="majorBidi" w:cstheme="majorBidi"/>
          <w:color w:val="000000"/>
        </w:rPr>
        <w:t>,</w:t>
      </w:r>
      <w:r w:rsidR="00DB1D86" w:rsidRPr="001C2369">
        <w:rPr>
          <w:rFonts w:asciiTheme="majorBidi" w:hAnsiTheme="majorBidi" w:cstheme="majorBidi"/>
          <w:color w:val="000000"/>
        </w:rPr>
        <w:t xml:space="preserve"> and </w:t>
      </w:r>
      <w:r w:rsidR="003F1126">
        <w:rPr>
          <w:rFonts w:asciiTheme="majorBidi" w:hAnsiTheme="majorBidi" w:cstheme="majorBidi"/>
          <w:color w:val="000000"/>
        </w:rPr>
        <w:t>displayed them in</w:t>
      </w:r>
      <w:r w:rsidR="00DB1D86" w:rsidRPr="001C2369">
        <w:rPr>
          <w:rFonts w:asciiTheme="majorBidi" w:hAnsiTheme="majorBidi" w:cstheme="majorBidi"/>
          <w:color w:val="000000"/>
        </w:rPr>
        <w:t xml:space="preserve"> Rome</w:t>
      </w:r>
      <w:r w:rsidR="0093696C">
        <w:rPr>
          <w:rFonts w:asciiTheme="majorBidi" w:hAnsiTheme="majorBidi" w:cstheme="majorBidi"/>
          <w:color w:val="000000"/>
        </w:rPr>
        <w:t xml:space="preserve"> as </w:t>
      </w:r>
      <w:r w:rsidR="00C05752">
        <w:rPr>
          <w:rFonts w:asciiTheme="majorBidi" w:hAnsiTheme="majorBidi" w:cstheme="majorBidi"/>
          <w:color w:val="000000"/>
        </w:rPr>
        <w:t>conquests</w:t>
      </w:r>
      <w:r w:rsidR="0093696C">
        <w:rPr>
          <w:rFonts w:asciiTheme="majorBidi" w:hAnsiTheme="majorBidi" w:cstheme="majorBidi"/>
          <w:color w:val="000000"/>
        </w:rPr>
        <w:t xml:space="preserve"> of war</w:t>
      </w:r>
      <w:r w:rsidR="00DB1D86" w:rsidRPr="001C2369">
        <w:rPr>
          <w:rFonts w:asciiTheme="majorBidi" w:hAnsiTheme="majorBidi" w:cstheme="majorBidi"/>
          <w:color w:val="000000"/>
        </w:rPr>
        <w:t>.</w:t>
      </w:r>
      <w:r w:rsidR="00DB1D86" w:rsidRPr="001C2369">
        <w:rPr>
          <w:rStyle w:val="FootnoteReference"/>
          <w:rFonts w:asciiTheme="majorBidi" w:hAnsiTheme="majorBidi" w:cstheme="majorBidi"/>
          <w:color w:val="000000"/>
        </w:rPr>
        <w:footnoteReference w:id="1"/>
      </w:r>
      <w:r w:rsidR="00DB1D86" w:rsidRPr="001C2369">
        <w:rPr>
          <w:rFonts w:asciiTheme="majorBidi" w:hAnsiTheme="majorBidi" w:cstheme="majorBidi"/>
          <w:color w:val="000000"/>
        </w:rPr>
        <w:t xml:space="preserve"> </w:t>
      </w:r>
      <w:r w:rsidR="00590EAA">
        <w:rPr>
          <w:rFonts w:asciiTheme="majorBidi" w:hAnsiTheme="majorBidi" w:cstheme="majorBidi"/>
          <w:color w:val="000000"/>
        </w:rPr>
        <w:t>This relationship</w:t>
      </w:r>
      <w:r w:rsidR="00167810">
        <w:rPr>
          <w:rFonts w:asciiTheme="majorBidi" w:hAnsiTheme="majorBidi" w:cstheme="majorBidi"/>
          <w:color w:val="000000"/>
        </w:rPr>
        <w:t xml:space="preserve"> between</w:t>
      </w:r>
      <w:r w:rsidR="00590EAA">
        <w:rPr>
          <w:rFonts w:asciiTheme="majorBidi" w:hAnsiTheme="majorBidi" w:cstheme="majorBidi"/>
          <w:color w:val="000000"/>
        </w:rPr>
        <w:t xml:space="preserve"> </w:t>
      </w:r>
      <w:r w:rsidR="0019439F">
        <w:rPr>
          <w:rFonts w:asciiTheme="majorBidi" w:hAnsiTheme="majorBidi" w:cstheme="majorBidi"/>
          <w:color w:val="000000"/>
        </w:rPr>
        <w:t xml:space="preserve">symbolic </w:t>
      </w:r>
      <w:r w:rsidR="00BD4AF8">
        <w:rPr>
          <w:rFonts w:asciiTheme="majorBidi" w:hAnsiTheme="majorBidi" w:cstheme="majorBidi"/>
          <w:color w:val="000000"/>
        </w:rPr>
        <w:t xml:space="preserve">military </w:t>
      </w:r>
      <w:r w:rsidR="0019439F">
        <w:rPr>
          <w:rFonts w:asciiTheme="majorBidi" w:hAnsiTheme="majorBidi" w:cstheme="majorBidi"/>
          <w:color w:val="000000"/>
        </w:rPr>
        <w:t>conquests</w:t>
      </w:r>
      <w:r w:rsidR="00590EAA">
        <w:rPr>
          <w:rFonts w:asciiTheme="majorBidi" w:hAnsiTheme="majorBidi" w:cstheme="majorBidi"/>
          <w:color w:val="000000"/>
        </w:rPr>
        <w:t xml:space="preserve"> and ownership </w:t>
      </w:r>
      <w:r w:rsidR="00A9017B">
        <w:rPr>
          <w:rFonts w:asciiTheme="majorBidi" w:hAnsiTheme="majorBidi" w:cstheme="majorBidi"/>
          <w:color w:val="000000"/>
        </w:rPr>
        <w:t>continues today. Look no further than a similar obelisk</w:t>
      </w:r>
      <w:r w:rsidR="00DB1D86">
        <w:rPr>
          <w:rFonts w:asciiTheme="majorBidi" w:hAnsiTheme="majorBidi" w:cstheme="majorBidi"/>
          <w:color w:val="000000"/>
        </w:rPr>
        <w:t xml:space="preserve"> </w:t>
      </w:r>
      <w:r w:rsidR="00C9511F">
        <w:rPr>
          <w:rFonts w:asciiTheme="majorBidi" w:hAnsiTheme="majorBidi" w:cstheme="majorBidi"/>
          <w:color w:val="000000"/>
        </w:rPr>
        <w:t>currently at</w:t>
      </w:r>
      <w:r w:rsidR="00DB1D86">
        <w:rPr>
          <w:rFonts w:asciiTheme="majorBidi" w:hAnsiTheme="majorBidi" w:cstheme="majorBidi"/>
          <w:color w:val="000000"/>
        </w:rPr>
        <w:t xml:space="preserve"> the</w:t>
      </w:r>
      <w:r w:rsidR="00DB1D86" w:rsidRPr="001C2369">
        <w:rPr>
          <w:rFonts w:asciiTheme="majorBidi" w:hAnsiTheme="majorBidi" w:cstheme="majorBidi"/>
          <w:color w:val="000000"/>
        </w:rPr>
        <w:t xml:space="preserve"> heart</w:t>
      </w:r>
      <w:r w:rsidR="00DB1D86">
        <w:rPr>
          <w:rFonts w:asciiTheme="majorBidi" w:hAnsiTheme="majorBidi" w:cstheme="majorBidi"/>
          <w:color w:val="000000"/>
        </w:rPr>
        <w:t xml:space="preserve"> of the United States’ capitol: </w:t>
      </w:r>
      <w:r w:rsidR="00457DAC">
        <w:rPr>
          <w:rFonts w:asciiTheme="majorBidi" w:hAnsiTheme="majorBidi" w:cstheme="majorBidi"/>
          <w:color w:val="000000"/>
        </w:rPr>
        <w:t xml:space="preserve">The Washington Monument. </w:t>
      </w:r>
    </w:p>
    <w:p w14:paraId="45547DBF" w14:textId="77777777" w:rsidR="00BC5E62" w:rsidRDefault="00BC5E62" w:rsidP="0019439F">
      <w:pPr>
        <w:widowControl w:val="0"/>
        <w:tabs>
          <w:tab w:val="left" w:pos="720"/>
        </w:tabs>
        <w:autoSpaceDE w:val="0"/>
        <w:autoSpaceDN w:val="0"/>
        <w:adjustRightInd w:val="0"/>
        <w:spacing w:line="480" w:lineRule="auto"/>
        <w:rPr>
          <w:rFonts w:asciiTheme="majorBidi" w:hAnsiTheme="majorBidi" w:cstheme="majorBidi"/>
          <w:color w:val="000000"/>
        </w:rPr>
      </w:pPr>
    </w:p>
    <w:p w14:paraId="5568EDFD" w14:textId="77777777" w:rsidR="00BC5E62" w:rsidRDefault="00BC5E62" w:rsidP="0019439F">
      <w:pPr>
        <w:widowControl w:val="0"/>
        <w:tabs>
          <w:tab w:val="left" w:pos="720"/>
        </w:tabs>
        <w:autoSpaceDE w:val="0"/>
        <w:autoSpaceDN w:val="0"/>
        <w:adjustRightInd w:val="0"/>
        <w:spacing w:line="480" w:lineRule="auto"/>
        <w:rPr>
          <w:rFonts w:asciiTheme="majorBidi" w:hAnsiTheme="majorBidi" w:cstheme="majorBidi"/>
          <w:color w:val="000000"/>
        </w:rPr>
      </w:pPr>
    </w:p>
    <w:p w14:paraId="7524F4C3" w14:textId="7F3C12B7" w:rsidR="00C36A83" w:rsidRPr="00C36A83" w:rsidRDefault="00457DAC" w:rsidP="00E92409">
      <w:pPr>
        <w:widowControl w:val="0"/>
        <w:tabs>
          <w:tab w:val="left" w:pos="720"/>
        </w:tabs>
        <w:autoSpaceDE w:val="0"/>
        <w:autoSpaceDN w:val="0"/>
        <w:adjustRightInd w:val="0"/>
        <w:spacing w:line="480" w:lineRule="auto"/>
        <w:rPr>
          <w:rFonts w:asciiTheme="majorBidi" w:hAnsiTheme="majorBidi" w:cstheme="majorBidi"/>
          <w:color w:val="000000"/>
        </w:rPr>
      </w:pPr>
      <w:r>
        <w:rPr>
          <w:rFonts w:asciiTheme="majorBidi" w:hAnsiTheme="majorBidi" w:cstheme="majorBidi"/>
          <w:color w:val="000000"/>
        </w:rPr>
        <w:t xml:space="preserve">While it may seem </w:t>
      </w:r>
      <w:r w:rsidR="004C2088">
        <w:rPr>
          <w:rFonts w:asciiTheme="majorBidi" w:hAnsiTheme="majorBidi" w:cstheme="majorBidi"/>
          <w:color w:val="000000"/>
        </w:rPr>
        <w:t>innocuous</w:t>
      </w:r>
      <w:r>
        <w:rPr>
          <w:rFonts w:asciiTheme="majorBidi" w:hAnsiTheme="majorBidi" w:cstheme="majorBidi"/>
          <w:color w:val="000000"/>
        </w:rPr>
        <w:t xml:space="preserve">, </w:t>
      </w:r>
      <w:r w:rsidR="00BC5E62">
        <w:rPr>
          <w:rFonts w:asciiTheme="majorBidi" w:hAnsiTheme="majorBidi" w:cstheme="majorBidi"/>
          <w:color w:val="000000"/>
        </w:rPr>
        <w:t xml:space="preserve">the power evoked by the monument asserts that </w:t>
      </w:r>
      <w:r w:rsidR="00212F3C">
        <w:rPr>
          <w:rFonts w:asciiTheme="majorBidi" w:hAnsiTheme="majorBidi" w:cstheme="majorBidi"/>
          <w:color w:val="000000"/>
        </w:rPr>
        <w:t xml:space="preserve">the U.S. </w:t>
      </w:r>
      <w:r w:rsidR="00212F3C">
        <w:rPr>
          <w:rFonts w:asciiTheme="majorBidi" w:hAnsiTheme="majorBidi" w:cstheme="majorBidi"/>
          <w:i/>
          <w:iCs/>
          <w:color w:val="000000"/>
        </w:rPr>
        <w:t>owns</w:t>
      </w:r>
      <w:r w:rsidR="00212F3C">
        <w:rPr>
          <w:rFonts w:asciiTheme="majorBidi" w:hAnsiTheme="majorBidi" w:cstheme="majorBidi"/>
          <w:color w:val="000000"/>
        </w:rPr>
        <w:t xml:space="preserve"> </w:t>
      </w:r>
      <w:r w:rsidR="00EB4015">
        <w:rPr>
          <w:rFonts w:asciiTheme="majorBidi" w:hAnsiTheme="majorBidi" w:cstheme="majorBidi"/>
          <w:color w:val="000000"/>
        </w:rPr>
        <w:t>the legacy of the obelisk</w:t>
      </w:r>
      <w:r w:rsidR="00BC5E62">
        <w:rPr>
          <w:rFonts w:asciiTheme="majorBidi" w:hAnsiTheme="majorBidi" w:cstheme="majorBidi"/>
          <w:color w:val="000000"/>
        </w:rPr>
        <w:t xml:space="preserve">; the U.S. parallels itself with ancient empires as a symbol of </w:t>
      </w:r>
      <w:r w:rsidR="00C40ABD">
        <w:rPr>
          <w:rFonts w:asciiTheme="majorBidi" w:hAnsiTheme="majorBidi" w:cstheme="majorBidi"/>
          <w:color w:val="000000"/>
        </w:rPr>
        <w:t xml:space="preserve">imperial power. </w:t>
      </w:r>
      <w:r w:rsidR="0093696C">
        <w:rPr>
          <w:rFonts w:asciiTheme="majorBidi" w:hAnsiTheme="majorBidi" w:cstheme="majorBidi"/>
          <w:color w:val="000000"/>
        </w:rPr>
        <w:t xml:space="preserve">This form </w:t>
      </w:r>
      <w:r w:rsidR="007C6B9A">
        <w:rPr>
          <w:rFonts w:asciiTheme="majorBidi" w:hAnsiTheme="majorBidi" w:cstheme="majorBidi"/>
          <w:color w:val="000000"/>
        </w:rPr>
        <w:t>of identity politics trickle</w:t>
      </w:r>
      <w:r w:rsidR="0093696C">
        <w:rPr>
          <w:rFonts w:asciiTheme="majorBidi" w:hAnsiTheme="majorBidi" w:cstheme="majorBidi"/>
          <w:color w:val="000000"/>
        </w:rPr>
        <w:t>s</w:t>
      </w:r>
      <w:r w:rsidR="007C6B9A">
        <w:rPr>
          <w:rFonts w:asciiTheme="majorBidi" w:hAnsiTheme="majorBidi" w:cstheme="majorBidi"/>
          <w:color w:val="000000"/>
        </w:rPr>
        <w:t xml:space="preserve"> down into museums </w:t>
      </w:r>
      <w:r w:rsidR="004A7808">
        <w:rPr>
          <w:rFonts w:asciiTheme="majorBidi" w:hAnsiTheme="majorBidi" w:cstheme="majorBidi"/>
          <w:color w:val="000000"/>
        </w:rPr>
        <w:t xml:space="preserve">as well. For example, the display of Indian artifacts in private British collections confirms </w:t>
      </w:r>
      <w:r w:rsidR="00314F7A">
        <w:rPr>
          <w:rFonts w:asciiTheme="majorBidi" w:hAnsiTheme="majorBidi" w:cstheme="majorBidi"/>
          <w:color w:val="000000"/>
        </w:rPr>
        <w:t xml:space="preserve">the </w:t>
      </w:r>
      <w:r w:rsidR="004A7808">
        <w:rPr>
          <w:rFonts w:asciiTheme="majorBidi" w:hAnsiTheme="majorBidi" w:cstheme="majorBidi"/>
          <w:color w:val="000000"/>
        </w:rPr>
        <w:t xml:space="preserve">post-colonial </w:t>
      </w:r>
      <w:r w:rsidR="00314F7A">
        <w:rPr>
          <w:rFonts w:asciiTheme="majorBidi" w:hAnsiTheme="majorBidi" w:cstheme="majorBidi"/>
          <w:color w:val="000000"/>
        </w:rPr>
        <w:t>legacy of ownership</w:t>
      </w:r>
      <w:r w:rsidR="004A7808">
        <w:rPr>
          <w:rFonts w:asciiTheme="majorBidi" w:hAnsiTheme="majorBidi" w:cstheme="majorBidi"/>
          <w:color w:val="000000"/>
        </w:rPr>
        <w:t xml:space="preserve">. Furthermore, </w:t>
      </w:r>
      <w:r w:rsidR="007C6B9A">
        <w:rPr>
          <w:rFonts w:asciiTheme="majorBidi" w:hAnsiTheme="majorBidi" w:cstheme="majorBidi"/>
          <w:color w:val="000000"/>
        </w:rPr>
        <w:t xml:space="preserve">when history is </w:t>
      </w:r>
      <w:r w:rsidR="00C40ABD">
        <w:rPr>
          <w:rFonts w:asciiTheme="majorBidi" w:hAnsiTheme="majorBidi" w:cstheme="majorBidi"/>
          <w:color w:val="000000"/>
        </w:rPr>
        <w:t>represented by</w:t>
      </w:r>
      <w:r w:rsidR="0065185B">
        <w:rPr>
          <w:rFonts w:asciiTheme="majorBidi" w:hAnsiTheme="majorBidi" w:cstheme="majorBidi"/>
          <w:color w:val="000000"/>
        </w:rPr>
        <w:t xml:space="preserve"> tangible artifacts, the historical record can</w:t>
      </w:r>
      <w:r w:rsidR="004A7808">
        <w:rPr>
          <w:rFonts w:asciiTheme="majorBidi" w:hAnsiTheme="majorBidi" w:cstheme="majorBidi"/>
          <w:color w:val="000000"/>
        </w:rPr>
        <w:t xml:space="preserve"> not only be bought and owned, it can also be</w:t>
      </w:r>
      <w:r w:rsidR="0065185B">
        <w:rPr>
          <w:rFonts w:asciiTheme="majorBidi" w:hAnsiTheme="majorBidi" w:cstheme="majorBidi"/>
          <w:color w:val="000000"/>
        </w:rPr>
        <w:t xml:space="preserve"> stolen. </w:t>
      </w:r>
      <w:r w:rsidR="00E92409">
        <w:rPr>
          <w:rFonts w:asciiTheme="majorBidi" w:hAnsiTheme="majorBidi" w:cstheme="majorBidi"/>
          <w:color w:val="000000"/>
        </w:rPr>
        <w:t xml:space="preserve">In fact, the display of stolen artifacts sterilizes ethics from ownership and adds a deeper amoral dimension to lasting colonial traces. </w:t>
      </w:r>
      <w:r w:rsidR="0093696C">
        <w:rPr>
          <w:rFonts w:asciiTheme="majorBidi" w:hAnsiTheme="majorBidi" w:cstheme="majorBidi"/>
          <w:color w:val="000000"/>
        </w:rPr>
        <w:t>Nevertheless, s</w:t>
      </w:r>
      <w:r w:rsidR="00DB1D86" w:rsidRPr="001C2369">
        <w:rPr>
          <w:rFonts w:asciiTheme="majorBidi" w:hAnsiTheme="majorBidi" w:cstheme="majorBidi"/>
          <w:color w:val="000000"/>
        </w:rPr>
        <w:t xml:space="preserve">ome countries, such as Italy, are taking a stand </w:t>
      </w:r>
      <w:r w:rsidR="0065185B">
        <w:rPr>
          <w:rFonts w:asciiTheme="majorBidi" w:hAnsiTheme="majorBidi" w:cstheme="majorBidi"/>
          <w:color w:val="000000"/>
        </w:rPr>
        <w:t xml:space="preserve">against </w:t>
      </w:r>
      <w:r w:rsidR="00C36A83">
        <w:rPr>
          <w:rFonts w:asciiTheme="majorBidi" w:hAnsiTheme="majorBidi" w:cstheme="majorBidi"/>
          <w:color w:val="000000"/>
        </w:rPr>
        <w:t>the illicit</w:t>
      </w:r>
      <w:r w:rsidR="00E92409">
        <w:rPr>
          <w:rFonts w:asciiTheme="majorBidi" w:hAnsiTheme="majorBidi" w:cstheme="majorBidi"/>
          <w:color w:val="000000"/>
        </w:rPr>
        <w:t xml:space="preserve"> </w:t>
      </w:r>
      <w:r w:rsidR="00C36A83">
        <w:rPr>
          <w:rFonts w:asciiTheme="majorBidi" w:hAnsiTheme="majorBidi" w:cstheme="majorBidi"/>
          <w:color w:val="000000"/>
        </w:rPr>
        <w:t xml:space="preserve">commercialization of artifacts by redefining </w:t>
      </w:r>
      <w:r w:rsidR="00C36A83" w:rsidRPr="005F371C">
        <w:rPr>
          <w:rFonts w:asciiTheme="majorBidi" w:hAnsiTheme="majorBidi" w:cstheme="majorBidi"/>
          <w:color w:val="000000"/>
        </w:rPr>
        <w:t>ownership</w:t>
      </w:r>
      <w:r w:rsidR="0093696C">
        <w:rPr>
          <w:rFonts w:asciiTheme="majorBidi" w:hAnsiTheme="majorBidi" w:cstheme="majorBidi"/>
          <w:color w:val="000000"/>
        </w:rPr>
        <w:t xml:space="preserve"> in the practice of artifact restitution. </w:t>
      </w:r>
    </w:p>
    <w:p w14:paraId="450AD559" w14:textId="735725AA" w:rsidR="00DB1D86" w:rsidRPr="002F20A8" w:rsidRDefault="00DB1D86" w:rsidP="00D16795">
      <w:pPr>
        <w:widowControl w:val="0"/>
        <w:tabs>
          <w:tab w:val="left" w:pos="720"/>
        </w:tabs>
        <w:autoSpaceDE w:val="0"/>
        <w:autoSpaceDN w:val="0"/>
        <w:adjustRightInd w:val="0"/>
        <w:spacing w:line="480" w:lineRule="auto"/>
        <w:rPr>
          <w:rFonts w:asciiTheme="majorBidi" w:eastAsia="Times New Roman" w:hAnsiTheme="majorBidi" w:cstheme="majorBidi"/>
          <w:i/>
          <w:iCs/>
        </w:rPr>
      </w:pPr>
      <w:r w:rsidRPr="001C2369">
        <w:rPr>
          <w:rFonts w:asciiTheme="majorBidi" w:hAnsiTheme="majorBidi" w:cstheme="majorBidi"/>
          <w:color w:val="000000"/>
        </w:rPr>
        <w:tab/>
        <w:t xml:space="preserve">The first breakthrough </w:t>
      </w:r>
      <w:r w:rsidR="00E92409">
        <w:rPr>
          <w:rFonts w:asciiTheme="majorBidi" w:hAnsiTheme="majorBidi" w:cstheme="majorBidi"/>
          <w:color w:val="000000"/>
        </w:rPr>
        <w:t>for</w:t>
      </w:r>
      <w:r w:rsidRPr="001C2369">
        <w:rPr>
          <w:rFonts w:asciiTheme="majorBidi" w:hAnsiTheme="majorBidi" w:cstheme="majorBidi"/>
          <w:color w:val="000000"/>
        </w:rPr>
        <w:t xml:space="preserve"> artifact restitution efforts was the </w:t>
      </w:r>
      <w:r w:rsidRPr="001C2369">
        <w:rPr>
          <w:rFonts w:asciiTheme="majorBidi" w:eastAsia="Times New Roman" w:hAnsiTheme="majorBidi" w:cstheme="majorBidi"/>
        </w:rPr>
        <w:t xml:space="preserve">1970 </w:t>
      </w:r>
      <w:r w:rsidRPr="001C2369">
        <w:rPr>
          <w:rFonts w:asciiTheme="majorBidi" w:hAnsiTheme="majorBidi" w:cstheme="majorBidi"/>
          <w:color w:val="000000" w:themeColor="text1"/>
        </w:rPr>
        <w:t xml:space="preserve">United Nations Educational, Scientific and Cultural Organization (UNESCO) </w:t>
      </w:r>
      <w:r w:rsidRPr="001C2369">
        <w:rPr>
          <w:rFonts w:asciiTheme="majorBidi" w:eastAsia="Times New Roman" w:hAnsiTheme="majorBidi" w:cstheme="majorBidi"/>
        </w:rPr>
        <w:t>Convention</w:t>
      </w:r>
      <w:r>
        <w:rPr>
          <w:rFonts w:asciiTheme="majorBidi" w:eastAsia="Times New Roman" w:hAnsiTheme="majorBidi" w:cstheme="majorBidi"/>
        </w:rPr>
        <w:t xml:space="preserve"> where </w:t>
      </w:r>
      <w:r w:rsidRPr="001C2369">
        <w:rPr>
          <w:rFonts w:asciiTheme="majorBidi" w:eastAsia="Times New Roman" w:hAnsiTheme="majorBidi" w:cstheme="majorBidi"/>
        </w:rPr>
        <w:t>120 countries came together to grapple with the puzzle: who owns history?</w:t>
      </w:r>
      <w:r w:rsidRPr="001C2369">
        <w:rPr>
          <w:rStyle w:val="FootnoteReference"/>
          <w:rFonts w:asciiTheme="majorBidi" w:eastAsia="Times New Roman" w:hAnsiTheme="majorBidi" w:cstheme="majorBidi"/>
        </w:rPr>
        <w:footnoteReference w:id="2"/>
      </w:r>
      <w:r w:rsidRPr="001C2369">
        <w:rPr>
          <w:rFonts w:asciiTheme="majorBidi" w:eastAsia="Times New Roman" w:hAnsiTheme="majorBidi" w:cstheme="majorBidi"/>
        </w:rPr>
        <w:t xml:space="preserve"> </w:t>
      </w:r>
      <w:r w:rsidR="0007750D">
        <w:rPr>
          <w:rFonts w:asciiTheme="majorBidi" w:eastAsia="Times New Roman" w:hAnsiTheme="majorBidi" w:cstheme="majorBidi"/>
        </w:rPr>
        <w:t xml:space="preserve">The agreement </w:t>
      </w:r>
      <w:r w:rsidR="00333B59">
        <w:rPr>
          <w:rFonts w:asciiTheme="majorBidi" w:eastAsia="Times New Roman" w:hAnsiTheme="majorBidi" w:cstheme="majorBidi"/>
        </w:rPr>
        <w:t>laid out a shared obligation to “adopt protection measures, control movement of cultural property, and return stolen cultural property.”</w:t>
      </w:r>
      <w:r w:rsidR="00333B59">
        <w:rPr>
          <w:rStyle w:val="FootnoteReference"/>
          <w:rFonts w:asciiTheme="majorBidi" w:eastAsia="Times New Roman" w:hAnsiTheme="majorBidi" w:cstheme="majorBidi"/>
        </w:rPr>
        <w:footnoteReference w:id="3"/>
      </w:r>
      <w:r w:rsidR="00D642DD">
        <w:rPr>
          <w:rFonts w:asciiTheme="majorBidi" w:eastAsia="Times New Roman" w:hAnsiTheme="majorBidi" w:cstheme="majorBidi"/>
        </w:rPr>
        <w:t xml:space="preserve"> </w:t>
      </w:r>
      <w:r>
        <w:rPr>
          <w:rFonts w:asciiTheme="majorBidi" w:eastAsia="Times New Roman" w:hAnsiTheme="majorBidi" w:cstheme="majorBidi"/>
        </w:rPr>
        <w:t>Even though ever</w:t>
      </w:r>
      <w:r w:rsidR="0093696C">
        <w:rPr>
          <w:rFonts w:asciiTheme="majorBidi" w:eastAsia="Times New Roman" w:hAnsiTheme="majorBidi" w:cstheme="majorBidi"/>
        </w:rPr>
        <w:t>y</w:t>
      </w:r>
      <w:r>
        <w:rPr>
          <w:rFonts w:asciiTheme="majorBidi" w:eastAsia="Times New Roman" w:hAnsiTheme="majorBidi" w:cstheme="majorBidi"/>
        </w:rPr>
        <w:t xml:space="preserve"> country </w:t>
      </w:r>
      <w:r w:rsidR="004E5200">
        <w:rPr>
          <w:rFonts w:asciiTheme="majorBidi" w:eastAsia="Times New Roman" w:hAnsiTheme="majorBidi" w:cstheme="majorBidi"/>
        </w:rPr>
        <w:t xml:space="preserve">in attendance </w:t>
      </w:r>
      <w:r>
        <w:rPr>
          <w:rFonts w:asciiTheme="majorBidi" w:eastAsia="Times New Roman" w:hAnsiTheme="majorBidi" w:cstheme="majorBidi"/>
        </w:rPr>
        <w:t>signed, the agreement</w:t>
      </w:r>
      <w:r w:rsidR="003A18B1">
        <w:rPr>
          <w:rFonts w:asciiTheme="majorBidi" w:eastAsia="Times New Roman" w:hAnsiTheme="majorBidi" w:cstheme="majorBidi"/>
        </w:rPr>
        <w:t>’s</w:t>
      </w:r>
      <w:r>
        <w:rPr>
          <w:rFonts w:asciiTheme="majorBidi" w:eastAsia="Times New Roman" w:hAnsiTheme="majorBidi" w:cstheme="majorBidi"/>
        </w:rPr>
        <w:t xml:space="preserve"> </w:t>
      </w:r>
      <w:r w:rsidR="003A18B1">
        <w:rPr>
          <w:rFonts w:asciiTheme="majorBidi" w:eastAsia="Times New Roman" w:hAnsiTheme="majorBidi" w:cstheme="majorBidi"/>
        </w:rPr>
        <w:t>success is below the</w:t>
      </w:r>
      <w:r w:rsidRPr="001C2369">
        <w:rPr>
          <w:rFonts w:asciiTheme="majorBidi" w:eastAsia="Times New Roman" w:hAnsiTheme="majorBidi" w:cstheme="majorBidi"/>
        </w:rPr>
        <w:t xml:space="preserve"> anticipated</w:t>
      </w:r>
      <w:r w:rsidR="003A18B1">
        <w:rPr>
          <w:rFonts w:asciiTheme="majorBidi" w:eastAsia="Times New Roman" w:hAnsiTheme="majorBidi" w:cstheme="majorBidi"/>
        </w:rPr>
        <w:t xml:space="preserve"> level</w:t>
      </w:r>
      <w:r w:rsidRPr="001C2369">
        <w:rPr>
          <w:rFonts w:asciiTheme="majorBidi" w:eastAsia="Times New Roman" w:hAnsiTheme="majorBidi" w:cstheme="majorBidi"/>
        </w:rPr>
        <w:t xml:space="preserve">. </w:t>
      </w:r>
      <w:r w:rsidR="00DE7684">
        <w:rPr>
          <w:rFonts w:asciiTheme="majorBidi" w:eastAsia="Times New Roman" w:hAnsiTheme="majorBidi" w:cstheme="majorBidi"/>
        </w:rPr>
        <w:t>According to UNESCO</w:t>
      </w:r>
      <w:r w:rsidR="0065185B">
        <w:rPr>
          <w:rFonts w:asciiTheme="majorBidi" w:eastAsia="Times New Roman" w:hAnsiTheme="majorBidi" w:cstheme="majorBidi"/>
        </w:rPr>
        <w:t xml:space="preserve">, </w:t>
      </w:r>
      <w:r>
        <w:rPr>
          <w:rFonts w:asciiTheme="majorBidi" w:eastAsia="Times New Roman" w:hAnsiTheme="majorBidi" w:cstheme="majorBidi"/>
        </w:rPr>
        <w:t xml:space="preserve">Italy </w:t>
      </w:r>
      <w:r w:rsidR="004E5200">
        <w:rPr>
          <w:rFonts w:asciiTheme="majorBidi" w:eastAsia="Times New Roman" w:hAnsiTheme="majorBidi" w:cstheme="majorBidi"/>
        </w:rPr>
        <w:t>had</w:t>
      </w:r>
      <w:r>
        <w:rPr>
          <w:rFonts w:asciiTheme="majorBidi" w:eastAsia="Times New Roman" w:hAnsiTheme="majorBidi" w:cstheme="majorBidi"/>
        </w:rPr>
        <w:t xml:space="preserve"> </w:t>
      </w:r>
      <w:r w:rsidR="00DE7684">
        <w:rPr>
          <w:rFonts w:asciiTheme="majorBidi" w:eastAsia="Times New Roman" w:hAnsiTheme="majorBidi" w:cstheme="majorBidi"/>
        </w:rPr>
        <w:t>just</w:t>
      </w:r>
      <w:r>
        <w:rPr>
          <w:rFonts w:asciiTheme="majorBidi" w:eastAsia="Times New Roman" w:hAnsiTheme="majorBidi" w:cstheme="majorBidi"/>
        </w:rPr>
        <w:t xml:space="preserve"> four successful restitution cases</w:t>
      </w:r>
      <w:r w:rsidR="0065185B">
        <w:rPr>
          <w:rFonts w:asciiTheme="majorBidi" w:eastAsia="Times New Roman" w:hAnsiTheme="majorBidi" w:cstheme="majorBidi"/>
        </w:rPr>
        <w:t>, even after implementing</w:t>
      </w:r>
      <w:r w:rsidR="003A18B1">
        <w:rPr>
          <w:rFonts w:asciiTheme="majorBidi" w:eastAsia="Times New Roman" w:hAnsiTheme="majorBidi" w:cstheme="majorBidi"/>
        </w:rPr>
        <w:t xml:space="preserve"> domestic </w:t>
      </w:r>
      <w:r w:rsidR="00851D30">
        <w:rPr>
          <w:rFonts w:asciiTheme="majorBidi" w:eastAsia="Times New Roman" w:hAnsiTheme="majorBidi" w:cstheme="majorBidi"/>
        </w:rPr>
        <w:t xml:space="preserve">policy and </w:t>
      </w:r>
      <w:r w:rsidR="0065185B">
        <w:rPr>
          <w:rFonts w:asciiTheme="majorBidi" w:eastAsia="Times New Roman" w:hAnsiTheme="majorBidi" w:cstheme="majorBidi"/>
        </w:rPr>
        <w:t xml:space="preserve">bilateral agreements </w:t>
      </w:r>
      <w:r w:rsidR="00851D30">
        <w:rPr>
          <w:rFonts w:asciiTheme="majorBidi" w:eastAsia="Times New Roman" w:hAnsiTheme="majorBidi" w:cstheme="majorBidi"/>
        </w:rPr>
        <w:t>charged with fostering collaboration between restitution taskforces and museums</w:t>
      </w:r>
      <w:r w:rsidR="0065185B">
        <w:rPr>
          <w:rFonts w:asciiTheme="majorBidi" w:eastAsia="Times New Roman" w:hAnsiTheme="majorBidi" w:cstheme="majorBidi"/>
        </w:rPr>
        <w:t>.</w:t>
      </w:r>
      <w:r w:rsidR="0065185B">
        <w:rPr>
          <w:rStyle w:val="FootnoteReference"/>
          <w:rFonts w:asciiTheme="majorBidi" w:eastAsia="Times New Roman" w:hAnsiTheme="majorBidi" w:cstheme="majorBidi"/>
        </w:rPr>
        <w:footnoteReference w:id="4"/>
      </w:r>
      <w:r w:rsidR="003A18B1">
        <w:rPr>
          <w:rFonts w:asciiTheme="majorBidi" w:eastAsia="Times New Roman" w:hAnsiTheme="majorBidi" w:cstheme="majorBidi"/>
        </w:rPr>
        <w:t xml:space="preserve"> </w:t>
      </w:r>
      <w:r w:rsidR="008C243D">
        <w:rPr>
          <w:rFonts w:asciiTheme="majorBidi" w:eastAsia="Times New Roman" w:hAnsiTheme="majorBidi" w:cstheme="majorBidi"/>
        </w:rPr>
        <w:t>Due to this</w:t>
      </w:r>
      <w:r w:rsidR="003A18B1">
        <w:rPr>
          <w:rFonts w:asciiTheme="majorBidi" w:eastAsia="Times New Roman" w:hAnsiTheme="majorBidi" w:cstheme="majorBidi"/>
        </w:rPr>
        <w:t xml:space="preserve"> low</w:t>
      </w:r>
      <w:r w:rsidR="008C243D">
        <w:rPr>
          <w:rFonts w:asciiTheme="majorBidi" w:eastAsia="Times New Roman" w:hAnsiTheme="majorBidi" w:cstheme="majorBidi"/>
        </w:rPr>
        <w:t xml:space="preserve"> rate of </w:t>
      </w:r>
      <w:r w:rsidR="0065185B">
        <w:rPr>
          <w:rFonts w:asciiTheme="majorBidi" w:eastAsia="Times New Roman" w:hAnsiTheme="majorBidi" w:cstheme="majorBidi"/>
        </w:rPr>
        <w:lastRenderedPageBreak/>
        <w:t xml:space="preserve">restitution, Italy adopted </w:t>
      </w:r>
      <w:r>
        <w:rPr>
          <w:rFonts w:asciiTheme="majorBidi" w:eastAsia="Times New Roman" w:hAnsiTheme="majorBidi" w:cstheme="majorBidi"/>
        </w:rPr>
        <w:t>alternative “grey solutions” such as museum loan programs.</w:t>
      </w:r>
      <w:r w:rsidRPr="001C2369">
        <w:rPr>
          <w:rStyle w:val="FootnoteReference"/>
          <w:rFonts w:asciiTheme="majorBidi" w:eastAsia="Times New Roman" w:hAnsiTheme="majorBidi" w:cstheme="majorBidi"/>
        </w:rPr>
        <w:footnoteReference w:id="5"/>
      </w:r>
      <w:r w:rsidR="0065185B">
        <w:rPr>
          <w:rFonts w:asciiTheme="majorBidi" w:eastAsia="Times New Roman" w:hAnsiTheme="majorBidi" w:cstheme="majorBidi"/>
        </w:rPr>
        <w:t xml:space="preserve"> These programs are breakthroughs </w:t>
      </w:r>
      <w:r w:rsidR="008C243D">
        <w:rPr>
          <w:rFonts w:asciiTheme="majorBidi" w:eastAsia="Times New Roman" w:hAnsiTheme="majorBidi" w:cstheme="majorBidi"/>
        </w:rPr>
        <w:t xml:space="preserve">in the way that nations approach restitution </w:t>
      </w:r>
      <w:r w:rsidR="0065185B">
        <w:rPr>
          <w:rFonts w:asciiTheme="majorBidi" w:eastAsia="Times New Roman" w:hAnsiTheme="majorBidi" w:cstheme="majorBidi"/>
        </w:rPr>
        <w:t>because they circumvent traditional legal pathways. Howev</w:t>
      </w:r>
      <w:r w:rsidR="00D17F3E">
        <w:rPr>
          <w:rFonts w:asciiTheme="majorBidi" w:eastAsia="Times New Roman" w:hAnsiTheme="majorBidi" w:cstheme="majorBidi"/>
        </w:rPr>
        <w:t xml:space="preserve">er, </w:t>
      </w:r>
      <w:r w:rsidR="00EB4015">
        <w:rPr>
          <w:rFonts w:asciiTheme="majorBidi" w:eastAsia="Times New Roman" w:hAnsiTheme="majorBidi" w:cstheme="majorBidi"/>
        </w:rPr>
        <w:t>they</w:t>
      </w:r>
      <w:r w:rsidR="00851D30">
        <w:rPr>
          <w:rFonts w:asciiTheme="majorBidi" w:eastAsia="Times New Roman" w:hAnsiTheme="majorBidi" w:cstheme="majorBidi"/>
        </w:rPr>
        <w:t xml:space="preserve"> also come with disadvantages.</w:t>
      </w:r>
      <w:r w:rsidR="00EB4015">
        <w:rPr>
          <w:rFonts w:asciiTheme="majorBidi" w:eastAsia="Times New Roman" w:hAnsiTheme="majorBidi" w:cstheme="majorBidi"/>
        </w:rPr>
        <w:t xml:space="preserve"> T</w:t>
      </w:r>
      <w:r w:rsidR="00851D30">
        <w:rPr>
          <w:rFonts w:asciiTheme="majorBidi" w:eastAsia="Times New Roman" w:hAnsiTheme="majorBidi" w:cstheme="majorBidi"/>
        </w:rPr>
        <w:t xml:space="preserve">hey are </w:t>
      </w:r>
      <w:r w:rsidR="004010E7">
        <w:rPr>
          <w:rFonts w:asciiTheme="majorBidi" w:eastAsia="Times New Roman" w:hAnsiTheme="majorBidi" w:cstheme="majorBidi"/>
        </w:rPr>
        <w:t>obstructed</w:t>
      </w:r>
      <w:r w:rsidR="00D17F3E">
        <w:rPr>
          <w:rFonts w:asciiTheme="majorBidi" w:eastAsia="Times New Roman" w:hAnsiTheme="majorBidi" w:cstheme="majorBidi"/>
        </w:rPr>
        <w:t xml:space="preserve"> </w:t>
      </w:r>
      <w:r w:rsidR="00851D30">
        <w:rPr>
          <w:rFonts w:asciiTheme="majorBidi" w:eastAsia="Times New Roman" w:hAnsiTheme="majorBidi" w:cstheme="majorBidi"/>
        </w:rPr>
        <w:t>by museums because each museum</w:t>
      </w:r>
      <w:r w:rsidR="00D17F3E">
        <w:rPr>
          <w:rFonts w:asciiTheme="majorBidi" w:eastAsia="Times New Roman" w:hAnsiTheme="majorBidi" w:cstheme="majorBidi"/>
        </w:rPr>
        <w:t xml:space="preserve"> treat</w:t>
      </w:r>
      <w:r w:rsidR="00851D30">
        <w:rPr>
          <w:rFonts w:asciiTheme="majorBidi" w:eastAsia="Times New Roman" w:hAnsiTheme="majorBidi" w:cstheme="majorBidi"/>
        </w:rPr>
        <w:t>s</w:t>
      </w:r>
      <w:r w:rsidR="00D17F3E">
        <w:rPr>
          <w:rFonts w:asciiTheme="majorBidi" w:eastAsia="Times New Roman" w:hAnsiTheme="majorBidi" w:cstheme="majorBidi"/>
        </w:rPr>
        <w:t xml:space="preserve"> </w:t>
      </w:r>
      <w:r w:rsidR="00D17F3E" w:rsidRPr="004E5200">
        <w:rPr>
          <w:rFonts w:asciiTheme="majorBidi" w:eastAsia="Times New Roman" w:hAnsiTheme="majorBidi" w:cstheme="majorBidi"/>
        </w:rPr>
        <w:t>ownership</w:t>
      </w:r>
      <w:r w:rsidR="00851D30">
        <w:rPr>
          <w:rFonts w:asciiTheme="majorBidi" w:eastAsia="Times New Roman" w:hAnsiTheme="majorBidi" w:cstheme="majorBidi"/>
          <w:i/>
          <w:iCs/>
        </w:rPr>
        <w:t xml:space="preserve"> </w:t>
      </w:r>
      <w:r w:rsidR="00851D30">
        <w:rPr>
          <w:rFonts w:asciiTheme="majorBidi" w:eastAsia="Times New Roman" w:hAnsiTheme="majorBidi" w:cstheme="majorBidi"/>
        </w:rPr>
        <w:t>uniquely. The programs a</w:t>
      </w:r>
      <w:r w:rsidR="002F20A8">
        <w:rPr>
          <w:rFonts w:asciiTheme="majorBidi" w:eastAsia="Times New Roman" w:hAnsiTheme="majorBidi" w:cstheme="majorBidi"/>
        </w:rPr>
        <w:t xml:space="preserve">lso lack enforcement mechanisms, such as international taskforces, because they operate outside the parameters of legal pathways </w:t>
      </w:r>
      <w:r w:rsidR="00EB4015">
        <w:rPr>
          <w:rFonts w:asciiTheme="majorBidi" w:eastAsia="Times New Roman" w:hAnsiTheme="majorBidi" w:cstheme="majorBidi"/>
        </w:rPr>
        <w:t>for</w:t>
      </w:r>
      <w:r w:rsidR="002F20A8">
        <w:rPr>
          <w:rFonts w:asciiTheme="majorBidi" w:eastAsia="Times New Roman" w:hAnsiTheme="majorBidi" w:cstheme="majorBidi"/>
        </w:rPr>
        <w:t xml:space="preserve"> restitution. The purpose of this paper is to explain why museums treat ownership differently</w:t>
      </w:r>
      <w:r w:rsidR="001229AE">
        <w:rPr>
          <w:rFonts w:asciiTheme="majorBidi" w:eastAsia="Times New Roman" w:hAnsiTheme="majorBidi" w:cstheme="majorBidi"/>
        </w:rPr>
        <w:t xml:space="preserve"> than international taskforces</w:t>
      </w:r>
      <w:r w:rsidR="002F20A8">
        <w:rPr>
          <w:rFonts w:asciiTheme="majorBidi" w:eastAsia="Times New Roman" w:hAnsiTheme="majorBidi" w:cstheme="majorBidi"/>
        </w:rPr>
        <w:t>.</w:t>
      </w:r>
      <w:r w:rsidR="002F20A8">
        <w:rPr>
          <w:rFonts w:asciiTheme="majorBidi" w:eastAsia="Times New Roman" w:hAnsiTheme="majorBidi" w:cstheme="majorBidi"/>
          <w:i/>
          <w:iCs/>
        </w:rPr>
        <w:t xml:space="preserve"> </w:t>
      </w:r>
      <w:r w:rsidR="007C4029">
        <w:rPr>
          <w:rFonts w:asciiTheme="majorBidi" w:eastAsia="Times New Roman" w:hAnsiTheme="majorBidi" w:cstheme="majorBidi"/>
        </w:rPr>
        <w:t xml:space="preserve">As such, the central question of this paper is: </w:t>
      </w:r>
      <w:r w:rsidR="000F4847">
        <w:rPr>
          <w:rFonts w:asciiTheme="majorBidi" w:hAnsiTheme="majorBidi" w:cstheme="majorBidi"/>
        </w:rPr>
        <w:t>With respect to</w:t>
      </w:r>
      <w:r w:rsidR="007C4029" w:rsidRPr="001C2369">
        <w:rPr>
          <w:rFonts w:asciiTheme="majorBidi" w:hAnsiTheme="majorBidi" w:cstheme="majorBidi"/>
        </w:rPr>
        <w:t xml:space="preserve"> Italian artifact restitution, how </w:t>
      </w:r>
      <w:r w:rsidR="00DC6ED8">
        <w:rPr>
          <w:rFonts w:asciiTheme="majorBidi" w:hAnsiTheme="majorBidi" w:cstheme="majorBidi"/>
        </w:rPr>
        <w:t>do</w:t>
      </w:r>
      <w:r w:rsidR="007C4029" w:rsidRPr="001C2369">
        <w:rPr>
          <w:rFonts w:asciiTheme="majorBidi" w:hAnsiTheme="majorBidi" w:cstheme="majorBidi"/>
        </w:rPr>
        <w:t xml:space="preserve"> international actors</w:t>
      </w:r>
      <w:r w:rsidR="00DA1958">
        <w:rPr>
          <w:rFonts w:asciiTheme="majorBidi" w:hAnsiTheme="majorBidi" w:cstheme="majorBidi"/>
        </w:rPr>
        <w:t xml:space="preserve"> such as museums and government </w:t>
      </w:r>
      <w:r w:rsidR="007C4029" w:rsidRPr="001C2369">
        <w:rPr>
          <w:rFonts w:asciiTheme="majorBidi" w:hAnsiTheme="majorBidi" w:cstheme="majorBidi"/>
        </w:rPr>
        <w:t>task fo</w:t>
      </w:r>
      <w:r w:rsidR="007C4029">
        <w:rPr>
          <w:rFonts w:asciiTheme="majorBidi" w:hAnsiTheme="majorBidi" w:cstheme="majorBidi"/>
        </w:rPr>
        <w:t xml:space="preserve">rces </w:t>
      </w:r>
      <w:r w:rsidR="00DC6ED8">
        <w:rPr>
          <w:rFonts w:asciiTheme="majorBidi" w:hAnsiTheme="majorBidi" w:cstheme="majorBidi"/>
        </w:rPr>
        <w:t>construct</w:t>
      </w:r>
      <w:r w:rsidR="007C4029">
        <w:rPr>
          <w:rFonts w:asciiTheme="majorBidi" w:hAnsiTheme="majorBidi" w:cstheme="majorBidi"/>
        </w:rPr>
        <w:t xml:space="preserve"> meanings about</w:t>
      </w:r>
      <w:r w:rsidR="007C4029" w:rsidRPr="001C2369">
        <w:rPr>
          <w:rFonts w:asciiTheme="majorBidi" w:hAnsiTheme="majorBidi" w:cstheme="majorBidi"/>
        </w:rPr>
        <w:t xml:space="preserve"> ownership</w:t>
      </w:r>
      <w:r w:rsidR="007C4029">
        <w:rPr>
          <w:rFonts w:asciiTheme="majorBidi" w:hAnsiTheme="majorBidi" w:cstheme="majorBidi"/>
        </w:rPr>
        <w:t>?</w:t>
      </w:r>
    </w:p>
    <w:p w14:paraId="56461855" w14:textId="77777777" w:rsidR="007C4029" w:rsidRDefault="007C4029" w:rsidP="003A18B1">
      <w:pPr>
        <w:widowControl w:val="0"/>
        <w:tabs>
          <w:tab w:val="left" w:pos="720"/>
        </w:tabs>
        <w:autoSpaceDE w:val="0"/>
        <w:autoSpaceDN w:val="0"/>
        <w:adjustRightInd w:val="0"/>
        <w:spacing w:line="480" w:lineRule="auto"/>
        <w:rPr>
          <w:rFonts w:asciiTheme="majorBidi" w:eastAsia="Times New Roman" w:hAnsiTheme="majorBidi" w:cstheme="majorBidi"/>
        </w:rPr>
      </w:pPr>
    </w:p>
    <w:p w14:paraId="38AC655D" w14:textId="654D0984" w:rsidR="007C4029" w:rsidRPr="007C4029" w:rsidRDefault="007C4029" w:rsidP="007C4029">
      <w:pPr>
        <w:widowControl w:val="0"/>
        <w:tabs>
          <w:tab w:val="left" w:pos="720"/>
        </w:tabs>
        <w:autoSpaceDE w:val="0"/>
        <w:autoSpaceDN w:val="0"/>
        <w:adjustRightInd w:val="0"/>
        <w:spacing w:line="480" w:lineRule="auto"/>
        <w:rPr>
          <w:rFonts w:asciiTheme="majorBidi" w:eastAsia="Times New Roman" w:hAnsiTheme="majorBidi" w:cstheme="majorBidi"/>
          <w:b/>
          <w:bCs/>
        </w:rPr>
      </w:pPr>
      <w:r w:rsidRPr="007C4029">
        <w:rPr>
          <w:rFonts w:asciiTheme="majorBidi" w:eastAsia="Times New Roman" w:hAnsiTheme="majorBidi" w:cstheme="majorBidi"/>
          <w:b/>
          <w:bCs/>
        </w:rPr>
        <w:t>Existing Literature</w:t>
      </w:r>
    </w:p>
    <w:p w14:paraId="05907C43" w14:textId="55B491CF" w:rsidR="004F5ECE" w:rsidRPr="009B526B" w:rsidRDefault="004F5ECE" w:rsidP="007E608A">
      <w:pPr>
        <w:widowControl w:val="0"/>
        <w:tabs>
          <w:tab w:val="left" w:pos="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00C84D74">
        <w:rPr>
          <w:rFonts w:asciiTheme="majorBidi" w:hAnsiTheme="majorBidi" w:cstheme="majorBidi"/>
        </w:rPr>
        <w:t xml:space="preserve">This paper builds on the existing </w:t>
      </w:r>
      <w:r w:rsidR="009B526B">
        <w:rPr>
          <w:rFonts w:asciiTheme="majorBidi" w:hAnsiTheme="majorBidi" w:cstheme="majorBidi"/>
        </w:rPr>
        <w:t xml:space="preserve">scholarly </w:t>
      </w:r>
      <w:r w:rsidR="00C84D74">
        <w:rPr>
          <w:rFonts w:asciiTheme="majorBidi" w:hAnsiTheme="majorBidi" w:cstheme="majorBidi"/>
        </w:rPr>
        <w:t xml:space="preserve">foundation </w:t>
      </w:r>
      <w:r w:rsidR="00A372A9">
        <w:rPr>
          <w:rFonts w:asciiTheme="majorBidi" w:hAnsiTheme="majorBidi" w:cstheme="majorBidi"/>
        </w:rPr>
        <w:t>in three distinct ways</w:t>
      </w:r>
      <w:r w:rsidR="009B526B">
        <w:rPr>
          <w:rFonts w:asciiTheme="majorBidi" w:hAnsiTheme="majorBidi" w:cstheme="majorBidi"/>
        </w:rPr>
        <w:t xml:space="preserve">. </w:t>
      </w:r>
      <w:r>
        <w:rPr>
          <w:rFonts w:asciiTheme="majorBidi" w:eastAsia="Times New Roman" w:hAnsiTheme="majorBidi" w:cstheme="majorBidi"/>
        </w:rPr>
        <w:t xml:space="preserve">First, economic theorists </w:t>
      </w:r>
      <w:r w:rsidR="007A5CCC">
        <w:rPr>
          <w:rFonts w:asciiTheme="majorBidi" w:eastAsia="Times New Roman" w:hAnsiTheme="majorBidi" w:cstheme="majorBidi"/>
        </w:rPr>
        <w:t>argue that</w:t>
      </w:r>
      <w:r>
        <w:rPr>
          <w:rFonts w:asciiTheme="majorBidi" w:eastAsia="Times New Roman" w:hAnsiTheme="majorBidi" w:cstheme="majorBidi"/>
        </w:rPr>
        <w:t xml:space="preserve"> post-colonial economic lines create fluctuating illicit markets that are split into geographic regions</w:t>
      </w:r>
      <w:r w:rsidR="007A5CCC">
        <w:rPr>
          <w:rFonts w:asciiTheme="majorBidi" w:eastAsia="Times New Roman" w:hAnsiTheme="majorBidi" w:cstheme="majorBidi"/>
        </w:rPr>
        <w:t>, often determined by levels of development</w:t>
      </w:r>
      <w:r>
        <w:rPr>
          <w:rFonts w:asciiTheme="majorBidi" w:eastAsia="Times New Roman" w:hAnsiTheme="majorBidi" w:cstheme="majorBidi"/>
        </w:rPr>
        <w:t>.</w:t>
      </w:r>
      <w:r>
        <w:rPr>
          <w:rStyle w:val="FootnoteReference"/>
          <w:rFonts w:asciiTheme="majorBidi" w:eastAsia="Times New Roman" w:hAnsiTheme="majorBidi" w:cstheme="majorBidi"/>
        </w:rPr>
        <w:footnoteReference w:id="6"/>
      </w:r>
      <w:r w:rsidR="007E608A">
        <w:rPr>
          <w:rFonts w:asciiTheme="majorBidi" w:eastAsia="Times New Roman" w:hAnsiTheme="majorBidi" w:cstheme="majorBidi"/>
        </w:rPr>
        <w:t xml:space="preserve"> </w:t>
      </w:r>
      <w:r>
        <w:rPr>
          <w:rFonts w:asciiTheme="majorBidi" w:eastAsia="Times New Roman" w:hAnsiTheme="majorBidi" w:cstheme="majorBidi"/>
        </w:rPr>
        <w:t xml:space="preserve">Second, social theorists explore </w:t>
      </w:r>
      <w:r w:rsidR="007A5CCC">
        <w:rPr>
          <w:rFonts w:asciiTheme="majorBidi" w:eastAsia="Times New Roman" w:hAnsiTheme="majorBidi" w:cstheme="majorBidi"/>
        </w:rPr>
        <w:t xml:space="preserve">the role of </w:t>
      </w:r>
      <w:r>
        <w:rPr>
          <w:rFonts w:asciiTheme="majorBidi" w:eastAsia="Times New Roman" w:hAnsiTheme="majorBidi" w:cstheme="majorBidi"/>
        </w:rPr>
        <w:t>identity politics</w:t>
      </w:r>
      <w:r w:rsidR="007A5CCC">
        <w:rPr>
          <w:rFonts w:asciiTheme="majorBidi" w:eastAsia="Times New Roman" w:hAnsiTheme="majorBidi" w:cstheme="majorBidi"/>
        </w:rPr>
        <w:t xml:space="preserve"> in ownership of cultural property such as artifacts</w:t>
      </w:r>
      <w:r>
        <w:rPr>
          <w:rFonts w:asciiTheme="majorBidi" w:eastAsia="Times New Roman" w:hAnsiTheme="majorBidi" w:cstheme="majorBidi"/>
        </w:rPr>
        <w:t>.</w:t>
      </w:r>
      <w:r>
        <w:rPr>
          <w:rStyle w:val="FootnoteReference"/>
          <w:rFonts w:asciiTheme="majorBidi" w:eastAsia="Times New Roman" w:hAnsiTheme="majorBidi" w:cstheme="majorBidi"/>
        </w:rPr>
        <w:footnoteReference w:id="7"/>
      </w:r>
      <w:r>
        <w:rPr>
          <w:rFonts w:asciiTheme="majorBidi" w:eastAsia="Times New Roman" w:hAnsiTheme="majorBidi" w:cstheme="majorBidi"/>
        </w:rPr>
        <w:t xml:space="preserve"> Finally, legal theorists grapple </w:t>
      </w:r>
      <w:r w:rsidR="00E04DF4">
        <w:rPr>
          <w:rFonts w:asciiTheme="majorBidi" w:eastAsia="Times New Roman" w:hAnsiTheme="majorBidi" w:cstheme="majorBidi"/>
        </w:rPr>
        <w:t xml:space="preserve">with the 1970 UNESCO Convention, </w:t>
      </w:r>
      <w:r>
        <w:rPr>
          <w:rFonts w:asciiTheme="majorBidi" w:eastAsia="Times New Roman" w:hAnsiTheme="majorBidi" w:cstheme="majorBidi"/>
        </w:rPr>
        <w:t>domestic patrimony laws</w:t>
      </w:r>
      <w:r w:rsidR="00E04DF4">
        <w:rPr>
          <w:rFonts w:asciiTheme="majorBidi" w:eastAsia="Times New Roman" w:hAnsiTheme="majorBidi" w:cstheme="majorBidi"/>
        </w:rPr>
        <w:t>,</w:t>
      </w:r>
      <w:r>
        <w:rPr>
          <w:rFonts w:asciiTheme="majorBidi" w:eastAsia="Times New Roman" w:hAnsiTheme="majorBidi" w:cstheme="majorBidi"/>
        </w:rPr>
        <w:t xml:space="preserve"> and</w:t>
      </w:r>
      <w:r w:rsidR="00E04DF4">
        <w:rPr>
          <w:rFonts w:asciiTheme="majorBidi" w:eastAsia="Times New Roman" w:hAnsiTheme="majorBidi" w:cstheme="majorBidi"/>
        </w:rPr>
        <w:t xml:space="preserve"> legal</w:t>
      </w:r>
      <w:r>
        <w:rPr>
          <w:rFonts w:asciiTheme="majorBidi" w:eastAsia="Times New Roman" w:hAnsiTheme="majorBidi" w:cstheme="majorBidi"/>
        </w:rPr>
        <w:t xml:space="preserve"> enforcement mechanisms.</w:t>
      </w:r>
      <w:r>
        <w:rPr>
          <w:rStyle w:val="FootnoteReference"/>
          <w:rFonts w:asciiTheme="majorBidi" w:eastAsia="Times New Roman" w:hAnsiTheme="majorBidi" w:cstheme="majorBidi"/>
        </w:rPr>
        <w:footnoteReference w:id="8"/>
      </w:r>
    </w:p>
    <w:p w14:paraId="359A371E" w14:textId="109BAD1D" w:rsidR="004F5ECE" w:rsidRDefault="004F5ECE" w:rsidP="00510AA8">
      <w:pPr>
        <w:spacing w:line="480" w:lineRule="auto"/>
        <w:ind w:firstLine="720"/>
        <w:rPr>
          <w:rFonts w:asciiTheme="majorBidi" w:eastAsia="Times New Roman" w:hAnsiTheme="majorBidi" w:cstheme="majorBidi"/>
        </w:rPr>
      </w:pPr>
      <w:r w:rsidRPr="007F751A">
        <w:rPr>
          <w:rFonts w:asciiTheme="majorBidi" w:eastAsia="Times New Roman" w:hAnsiTheme="majorBidi" w:cstheme="majorBidi"/>
        </w:rPr>
        <w:lastRenderedPageBreak/>
        <w:t>Economic theory is</w:t>
      </w:r>
      <w:r w:rsidR="00A372A9">
        <w:rPr>
          <w:rFonts w:asciiTheme="majorBidi" w:eastAsia="Times New Roman" w:hAnsiTheme="majorBidi" w:cstheme="majorBidi"/>
        </w:rPr>
        <w:t xml:space="preserve"> necessary to understand artifact restitution because </w:t>
      </w:r>
      <w:r w:rsidRPr="007F751A">
        <w:rPr>
          <w:rFonts w:asciiTheme="majorBidi" w:eastAsia="Times New Roman" w:hAnsiTheme="majorBidi" w:cstheme="majorBidi"/>
        </w:rPr>
        <w:t>illicit</w:t>
      </w:r>
      <w:r>
        <w:rPr>
          <w:rFonts w:asciiTheme="majorBidi" w:eastAsia="Times New Roman" w:hAnsiTheme="majorBidi" w:cstheme="majorBidi"/>
        </w:rPr>
        <w:t xml:space="preserve"> </w:t>
      </w:r>
      <w:r w:rsidRPr="007F751A">
        <w:rPr>
          <w:rFonts w:asciiTheme="majorBidi" w:eastAsia="Times New Roman" w:hAnsiTheme="majorBidi" w:cstheme="majorBidi"/>
        </w:rPr>
        <w:t>trade networks are measurable economic markets. The existing body of literature identifies that the</w:t>
      </w:r>
      <w:r>
        <w:rPr>
          <w:rFonts w:asciiTheme="majorBidi" w:eastAsia="Times New Roman" w:hAnsiTheme="majorBidi" w:cstheme="majorBidi"/>
        </w:rPr>
        <w:t>se</w:t>
      </w:r>
      <w:r w:rsidRPr="007F751A">
        <w:rPr>
          <w:rFonts w:asciiTheme="majorBidi" w:eastAsia="Times New Roman" w:hAnsiTheme="majorBidi" w:cstheme="majorBidi"/>
        </w:rPr>
        <w:t xml:space="preserve"> markets are estimated at two to six billion dollars.</w:t>
      </w:r>
      <w:r w:rsidRPr="007F751A">
        <w:rPr>
          <w:rStyle w:val="FootnoteReference"/>
          <w:rFonts w:asciiTheme="majorBidi" w:eastAsia="Times New Roman" w:hAnsiTheme="majorBidi" w:cstheme="majorBidi"/>
        </w:rPr>
        <w:footnoteReference w:id="9"/>
      </w:r>
      <w:r w:rsidR="00BB5497">
        <w:rPr>
          <w:rFonts w:asciiTheme="majorBidi" w:eastAsia="Times New Roman" w:hAnsiTheme="majorBidi" w:cstheme="majorBidi"/>
        </w:rPr>
        <w:t xml:space="preserve"> However, these market values are not always reliable</w:t>
      </w:r>
      <w:r>
        <w:rPr>
          <w:rFonts w:asciiTheme="majorBidi" w:eastAsia="Times New Roman" w:hAnsiTheme="majorBidi" w:cstheme="majorBidi"/>
        </w:rPr>
        <w:t xml:space="preserve">. </w:t>
      </w:r>
      <w:r w:rsidR="00BB5497">
        <w:rPr>
          <w:rFonts w:asciiTheme="majorBidi" w:eastAsia="Times New Roman" w:hAnsiTheme="majorBidi" w:cstheme="majorBidi"/>
        </w:rPr>
        <w:t>For instance</w:t>
      </w:r>
      <w:r w:rsidRPr="007F751A">
        <w:rPr>
          <w:rFonts w:asciiTheme="majorBidi" w:eastAsia="Times New Roman" w:hAnsiTheme="majorBidi" w:cstheme="majorBidi"/>
        </w:rPr>
        <w:t xml:space="preserve">, the </w:t>
      </w:r>
      <w:r w:rsidR="00BB5497">
        <w:rPr>
          <w:rFonts w:asciiTheme="majorBidi" w:eastAsia="Times New Roman" w:hAnsiTheme="majorBidi" w:cstheme="majorBidi"/>
        </w:rPr>
        <w:t>size of these illicit markets</w:t>
      </w:r>
      <w:r w:rsidRPr="007F751A">
        <w:rPr>
          <w:rFonts w:asciiTheme="majorBidi" w:eastAsia="Times New Roman" w:hAnsiTheme="majorBidi" w:cstheme="majorBidi"/>
        </w:rPr>
        <w:t xml:space="preserve"> </w:t>
      </w:r>
      <w:r>
        <w:rPr>
          <w:rFonts w:asciiTheme="majorBidi" w:eastAsia="Times New Roman" w:hAnsiTheme="majorBidi" w:cstheme="majorBidi"/>
        </w:rPr>
        <w:t xml:space="preserve">fluctuates </w:t>
      </w:r>
      <w:r w:rsidRPr="007F751A">
        <w:rPr>
          <w:rFonts w:asciiTheme="majorBidi" w:eastAsia="Times New Roman" w:hAnsiTheme="majorBidi" w:cstheme="majorBidi"/>
        </w:rPr>
        <w:t>due to external factors such as war.</w:t>
      </w:r>
      <w:r w:rsidRPr="007F751A">
        <w:rPr>
          <w:rStyle w:val="FootnoteReference"/>
          <w:rFonts w:asciiTheme="majorBidi" w:eastAsia="Times New Roman" w:hAnsiTheme="majorBidi" w:cstheme="majorBidi"/>
        </w:rPr>
        <w:footnoteReference w:id="10"/>
      </w:r>
      <w:r w:rsidRPr="007F751A">
        <w:rPr>
          <w:rFonts w:asciiTheme="majorBidi" w:eastAsia="Times New Roman" w:hAnsiTheme="majorBidi" w:cstheme="majorBidi"/>
        </w:rPr>
        <w:t xml:space="preserve"> </w:t>
      </w:r>
      <w:r w:rsidR="00BB5497">
        <w:rPr>
          <w:rFonts w:asciiTheme="majorBidi" w:eastAsia="Times New Roman" w:hAnsiTheme="majorBidi" w:cstheme="majorBidi"/>
        </w:rPr>
        <w:t>Also</w:t>
      </w:r>
      <w:r>
        <w:rPr>
          <w:rFonts w:asciiTheme="majorBidi" w:eastAsia="Times New Roman" w:hAnsiTheme="majorBidi" w:cstheme="majorBidi"/>
        </w:rPr>
        <w:t xml:space="preserve">, </w:t>
      </w:r>
      <w:r w:rsidR="00BB5497">
        <w:rPr>
          <w:rFonts w:asciiTheme="majorBidi" w:eastAsia="Times New Roman" w:hAnsiTheme="majorBidi" w:cstheme="majorBidi"/>
        </w:rPr>
        <w:t xml:space="preserve">because these trade networks are illegal, the true value of income is not reported which leads to substantial </w:t>
      </w:r>
      <w:r w:rsidRPr="007F751A">
        <w:rPr>
          <w:rFonts w:asciiTheme="majorBidi" w:eastAsia="Times New Roman" w:hAnsiTheme="majorBidi" w:cstheme="majorBidi"/>
        </w:rPr>
        <w:t>quantitative issues</w:t>
      </w:r>
      <w:r w:rsidR="00BB5497">
        <w:rPr>
          <w:rFonts w:asciiTheme="majorBidi" w:eastAsia="Times New Roman" w:hAnsiTheme="majorBidi" w:cstheme="majorBidi"/>
        </w:rPr>
        <w:t xml:space="preserve"> for governmental reporting agencies</w:t>
      </w:r>
      <w:r w:rsidRPr="007F751A">
        <w:rPr>
          <w:rFonts w:asciiTheme="majorBidi" w:eastAsia="Times New Roman" w:hAnsiTheme="majorBidi" w:cstheme="majorBidi"/>
        </w:rPr>
        <w:t>.</w:t>
      </w:r>
      <w:r w:rsidRPr="007F751A">
        <w:rPr>
          <w:rStyle w:val="FootnoteReference"/>
          <w:rFonts w:asciiTheme="majorBidi" w:eastAsia="Times New Roman" w:hAnsiTheme="majorBidi" w:cstheme="majorBidi"/>
        </w:rPr>
        <w:footnoteReference w:id="11"/>
      </w:r>
      <w:r w:rsidRPr="007F751A">
        <w:rPr>
          <w:rFonts w:asciiTheme="majorBidi" w:eastAsia="Times New Roman" w:hAnsiTheme="majorBidi" w:cstheme="majorBidi"/>
        </w:rPr>
        <w:t xml:space="preserve"> </w:t>
      </w:r>
      <w:r w:rsidR="00510AA8">
        <w:rPr>
          <w:rFonts w:asciiTheme="majorBidi" w:eastAsia="Times New Roman" w:hAnsiTheme="majorBidi" w:cstheme="majorBidi"/>
        </w:rPr>
        <w:t>These drawbacks are why many scholars use discourse analysis to bypass quantitative issues.</w:t>
      </w:r>
      <w:r w:rsidR="00510AA8">
        <w:rPr>
          <w:rStyle w:val="FootnoteReference"/>
          <w:rFonts w:asciiTheme="majorBidi" w:eastAsia="Times New Roman" w:hAnsiTheme="majorBidi" w:cstheme="majorBidi"/>
        </w:rPr>
        <w:footnoteReference w:id="12"/>
      </w:r>
    </w:p>
    <w:p w14:paraId="784141C0" w14:textId="5718A564" w:rsidR="004F5ECE" w:rsidRPr="007F751A" w:rsidRDefault="00A33936" w:rsidP="00A33936">
      <w:pPr>
        <w:spacing w:line="480" w:lineRule="auto"/>
        <w:ind w:firstLine="720"/>
        <w:rPr>
          <w:rFonts w:asciiTheme="majorBidi" w:eastAsia="Times New Roman" w:hAnsiTheme="majorBidi" w:cstheme="majorBidi"/>
        </w:rPr>
      </w:pPr>
      <w:r>
        <w:rPr>
          <w:rFonts w:asciiTheme="majorBidi" w:eastAsia="Times New Roman" w:hAnsiTheme="majorBidi" w:cstheme="majorBidi"/>
        </w:rPr>
        <w:t>Economic theory also sheds light on post-colonial influences. For instance, national borders are often contested because colonial nations wielded the power over the division of land and resources.</w:t>
      </w:r>
      <w:r>
        <w:rPr>
          <w:rStyle w:val="FootnoteReference"/>
          <w:rFonts w:asciiTheme="majorBidi" w:eastAsia="Times New Roman" w:hAnsiTheme="majorBidi" w:cstheme="majorBidi"/>
        </w:rPr>
        <w:footnoteReference w:id="13"/>
      </w:r>
      <w:r>
        <w:rPr>
          <w:rFonts w:asciiTheme="majorBidi" w:eastAsia="Times New Roman" w:hAnsiTheme="majorBidi" w:cstheme="majorBidi"/>
        </w:rPr>
        <w:t xml:space="preserve"> As such, p</w:t>
      </w:r>
      <w:r w:rsidR="006F13C8">
        <w:rPr>
          <w:rFonts w:asciiTheme="majorBidi" w:eastAsia="Times New Roman" w:hAnsiTheme="majorBidi" w:cstheme="majorBidi"/>
        </w:rPr>
        <w:t>ost</w:t>
      </w:r>
      <w:r w:rsidR="00BB5497">
        <w:rPr>
          <w:rFonts w:asciiTheme="majorBidi" w:eastAsia="Times New Roman" w:hAnsiTheme="majorBidi" w:cstheme="majorBidi"/>
        </w:rPr>
        <w:t xml:space="preserve">colonial economic </w:t>
      </w:r>
      <w:r w:rsidR="004F5ECE" w:rsidRPr="007F751A">
        <w:rPr>
          <w:rFonts w:asciiTheme="majorBidi" w:eastAsia="Times New Roman" w:hAnsiTheme="majorBidi" w:cstheme="majorBidi"/>
        </w:rPr>
        <w:t>theorists split ill</w:t>
      </w:r>
      <w:r w:rsidR="004F5ECE">
        <w:rPr>
          <w:rFonts w:asciiTheme="majorBidi" w:eastAsia="Times New Roman" w:hAnsiTheme="majorBidi" w:cstheme="majorBidi"/>
        </w:rPr>
        <w:t xml:space="preserve">icit markets </w:t>
      </w:r>
      <w:r w:rsidR="004F5ECE" w:rsidRPr="007F751A">
        <w:rPr>
          <w:rFonts w:asciiTheme="majorBidi" w:eastAsia="Times New Roman" w:hAnsiTheme="majorBidi" w:cstheme="majorBidi"/>
        </w:rPr>
        <w:t>into two categories: market and source nations</w:t>
      </w:r>
      <w:r>
        <w:rPr>
          <w:rFonts w:asciiTheme="majorBidi" w:eastAsia="Times New Roman" w:hAnsiTheme="majorBidi" w:cstheme="majorBidi"/>
        </w:rPr>
        <w:t>, which often highlight development inequality</w:t>
      </w:r>
      <w:r w:rsidR="00A02B4D">
        <w:rPr>
          <w:rFonts w:asciiTheme="majorBidi" w:eastAsia="Times New Roman" w:hAnsiTheme="majorBidi" w:cstheme="majorBidi"/>
        </w:rPr>
        <w:t>.</w:t>
      </w:r>
      <w:r w:rsidR="004F5ECE" w:rsidRPr="007F751A">
        <w:rPr>
          <w:rStyle w:val="FootnoteReference"/>
          <w:rFonts w:asciiTheme="majorBidi" w:eastAsia="Times New Roman" w:hAnsiTheme="majorBidi" w:cstheme="majorBidi"/>
        </w:rPr>
        <w:footnoteReference w:id="14"/>
      </w:r>
      <w:r w:rsidR="004F5ECE" w:rsidRPr="007F751A">
        <w:rPr>
          <w:rFonts w:asciiTheme="majorBidi" w:eastAsia="Times New Roman" w:hAnsiTheme="majorBidi" w:cstheme="majorBidi"/>
        </w:rPr>
        <w:t xml:space="preserve"> </w:t>
      </w:r>
      <w:r w:rsidR="00510AA8">
        <w:rPr>
          <w:rFonts w:asciiTheme="majorBidi" w:eastAsia="Times New Roman" w:hAnsiTheme="majorBidi" w:cstheme="majorBidi"/>
        </w:rPr>
        <w:t>Market nations are where artifacts are purchased while source nations are where artifacts are stolen.</w:t>
      </w:r>
      <w:r w:rsidR="00510AA8">
        <w:rPr>
          <w:rStyle w:val="FootnoteReference"/>
          <w:rFonts w:asciiTheme="majorBidi" w:eastAsia="Times New Roman" w:hAnsiTheme="majorBidi" w:cstheme="majorBidi"/>
        </w:rPr>
        <w:footnoteReference w:id="15"/>
      </w:r>
      <w:r w:rsidR="00510AA8">
        <w:rPr>
          <w:rFonts w:asciiTheme="majorBidi" w:eastAsia="Times New Roman" w:hAnsiTheme="majorBidi" w:cstheme="majorBidi"/>
        </w:rPr>
        <w:t xml:space="preserve"> Economists</w:t>
      </w:r>
      <w:r w:rsidR="004F5ECE" w:rsidRPr="007F751A">
        <w:rPr>
          <w:rFonts w:asciiTheme="majorBidi" w:eastAsia="Times New Roman" w:hAnsiTheme="majorBidi" w:cstheme="majorBidi"/>
        </w:rPr>
        <w:t xml:space="preserve"> use this dichotomy to identify where economic solutions </w:t>
      </w:r>
      <w:r w:rsidR="004F5ECE">
        <w:rPr>
          <w:rFonts w:asciiTheme="majorBidi" w:eastAsia="Times New Roman" w:hAnsiTheme="majorBidi" w:cstheme="majorBidi"/>
        </w:rPr>
        <w:t xml:space="preserve">should be applied. One group </w:t>
      </w:r>
      <w:r w:rsidR="004F5ECE" w:rsidRPr="007F751A">
        <w:rPr>
          <w:rFonts w:asciiTheme="majorBidi" w:eastAsia="Times New Roman" w:hAnsiTheme="majorBidi" w:cstheme="majorBidi"/>
        </w:rPr>
        <w:t>argue</w:t>
      </w:r>
      <w:r w:rsidR="004F5ECE">
        <w:rPr>
          <w:rFonts w:asciiTheme="majorBidi" w:eastAsia="Times New Roman" w:hAnsiTheme="majorBidi" w:cstheme="majorBidi"/>
        </w:rPr>
        <w:t>s</w:t>
      </w:r>
      <w:r w:rsidR="004F5ECE" w:rsidRPr="007F751A">
        <w:rPr>
          <w:rFonts w:asciiTheme="majorBidi" w:eastAsia="Times New Roman" w:hAnsiTheme="majorBidi" w:cstheme="majorBidi"/>
        </w:rPr>
        <w:t xml:space="preserve"> that economic solutions are necessary in source nations </w:t>
      </w:r>
      <w:r w:rsidR="00510AA8">
        <w:rPr>
          <w:rFonts w:asciiTheme="majorBidi" w:eastAsia="Times New Roman" w:hAnsiTheme="majorBidi" w:cstheme="majorBidi"/>
        </w:rPr>
        <w:t>because artifact scavenging provides jobs for local villagers that are often impoverished due to war</w:t>
      </w:r>
      <w:r w:rsidR="004F5ECE" w:rsidRPr="007F751A">
        <w:rPr>
          <w:rFonts w:asciiTheme="majorBidi" w:eastAsia="Times New Roman" w:hAnsiTheme="majorBidi" w:cstheme="majorBidi"/>
        </w:rPr>
        <w:t>.</w:t>
      </w:r>
      <w:r w:rsidR="004F5ECE" w:rsidRPr="007F751A">
        <w:rPr>
          <w:rStyle w:val="FootnoteReference"/>
          <w:rFonts w:asciiTheme="majorBidi" w:eastAsia="Times New Roman" w:hAnsiTheme="majorBidi" w:cstheme="majorBidi"/>
        </w:rPr>
        <w:footnoteReference w:id="16"/>
      </w:r>
      <w:r w:rsidR="004F5ECE" w:rsidRPr="007F751A">
        <w:rPr>
          <w:rFonts w:asciiTheme="majorBidi" w:eastAsia="Times New Roman" w:hAnsiTheme="majorBidi" w:cstheme="majorBidi"/>
        </w:rPr>
        <w:t xml:space="preserve"> Other literature identifies the market </w:t>
      </w:r>
      <w:r w:rsidR="004F5ECE" w:rsidRPr="007F751A">
        <w:rPr>
          <w:rFonts w:asciiTheme="majorBidi" w:eastAsia="Times New Roman" w:hAnsiTheme="majorBidi" w:cstheme="majorBidi"/>
        </w:rPr>
        <w:lastRenderedPageBreak/>
        <w:t>nations as the space for economic solutions such as sanctions, tariffs, and tax penalties.</w:t>
      </w:r>
      <w:r w:rsidR="004F5ECE" w:rsidRPr="007F751A">
        <w:rPr>
          <w:rStyle w:val="FootnoteReference"/>
          <w:rFonts w:asciiTheme="majorBidi" w:eastAsia="Times New Roman" w:hAnsiTheme="majorBidi" w:cstheme="majorBidi"/>
        </w:rPr>
        <w:footnoteReference w:id="17"/>
      </w:r>
      <w:r w:rsidR="004F5ECE" w:rsidRPr="007F751A">
        <w:rPr>
          <w:rFonts w:asciiTheme="majorBidi" w:eastAsia="Times New Roman" w:hAnsiTheme="majorBidi" w:cstheme="majorBidi"/>
        </w:rPr>
        <w:t xml:space="preserve"> Specif</w:t>
      </w:r>
      <w:r w:rsidR="004F5ECE">
        <w:rPr>
          <w:rFonts w:asciiTheme="majorBidi" w:eastAsia="Times New Roman" w:hAnsiTheme="majorBidi" w:cstheme="majorBidi"/>
        </w:rPr>
        <w:t>ically, some scholars research</w:t>
      </w:r>
      <w:r w:rsidR="004F5ECE" w:rsidRPr="007F751A">
        <w:rPr>
          <w:rFonts w:asciiTheme="majorBidi" w:eastAsia="Times New Roman" w:hAnsiTheme="majorBidi" w:cstheme="majorBidi"/>
        </w:rPr>
        <w:t xml:space="preserve"> economic sanctions  and their ability to curb cross-border networks that are run by robbers as well as </w:t>
      </w:r>
      <w:bookmarkStart w:id="3" w:name="OLE_LINK1"/>
      <w:bookmarkStart w:id="4" w:name="OLE_LINK2"/>
      <w:r w:rsidR="004F5ECE" w:rsidRPr="007F751A">
        <w:rPr>
          <w:rFonts w:asciiTheme="majorBidi" w:eastAsia="Times New Roman" w:hAnsiTheme="majorBidi" w:cstheme="majorBidi"/>
        </w:rPr>
        <w:t>archaeologists.</w:t>
      </w:r>
      <w:r w:rsidR="004F5ECE" w:rsidRPr="007F751A">
        <w:rPr>
          <w:rStyle w:val="FootnoteReference"/>
          <w:rFonts w:asciiTheme="majorBidi" w:eastAsia="Times New Roman" w:hAnsiTheme="majorBidi" w:cstheme="majorBidi"/>
        </w:rPr>
        <w:footnoteReference w:id="18"/>
      </w:r>
      <w:r w:rsidR="004F5ECE">
        <w:rPr>
          <w:rFonts w:asciiTheme="majorBidi" w:eastAsia="Times New Roman" w:hAnsiTheme="majorBidi" w:cstheme="majorBidi"/>
        </w:rPr>
        <w:t xml:space="preserve"> Other market nation</w:t>
      </w:r>
      <w:r w:rsidR="004F5ECE" w:rsidRPr="007F751A">
        <w:rPr>
          <w:rFonts w:asciiTheme="majorBidi" w:eastAsia="Times New Roman" w:hAnsiTheme="majorBidi" w:cstheme="majorBidi"/>
        </w:rPr>
        <w:t xml:space="preserve"> solutions are tax penalties for museums that buy artifacts </w:t>
      </w:r>
      <w:r w:rsidR="004F5ECE">
        <w:rPr>
          <w:rFonts w:asciiTheme="majorBidi" w:eastAsia="Times New Roman" w:hAnsiTheme="majorBidi" w:cstheme="majorBidi"/>
        </w:rPr>
        <w:t xml:space="preserve">with </w:t>
      </w:r>
      <w:r w:rsidR="004F5ECE" w:rsidRPr="007F751A">
        <w:rPr>
          <w:rFonts w:asciiTheme="majorBidi" w:eastAsia="Times New Roman" w:hAnsiTheme="majorBidi" w:cstheme="majorBidi"/>
        </w:rPr>
        <w:t>illegal provenance histories</w:t>
      </w:r>
      <w:bookmarkEnd w:id="3"/>
      <w:bookmarkEnd w:id="4"/>
      <w:r w:rsidR="004F5ECE" w:rsidRPr="007F751A">
        <w:rPr>
          <w:rFonts w:asciiTheme="majorBidi" w:eastAsia="Times New Roman" w:hAnsiTheme="majorBidi" w:cstheme="majorBidi"/>
        </w:rPr>
        <w:t>.</w:t>
      </w:r>
      <w:r w:rsidR="004F5ECE" w:rsidRPr="007F751A">
        <w:rPr>
          <w:rStyle w:val="FootnoteReference"/>
          <w:rFonts w:asciiTheme="majorBidi" w:eastAsia="Times New Roman" w:hAnsiTheme="majorBidi" w:cstheme="majorBidi"/>
        </w:rPr>
        <w:footnoteReference w:id="19"/>
      </w:r>
    </w:p>
    <w:p w14:paraId="010734F5" w14:textId="3D9CB419" w:rsidR="00D42AEA" w:rsidRDefault="006606AE" w:rsidP="004C5636">
      <w:pPr>
        <w:spacing w:line="480" w:lineRule="auto"/>
        <w:ind w:firstLine="540"/>
        <w:rPr>
          <w:rFonts w:asciiTheme="majorBidi" w:eastAsia="Times New Roman" w:hAnsiTheme="majorBidi" w:cstheme="majorBidi"/>
        </w:rPr>
      </w:pPr>
      <w:r>
        <w:rPr>
          <w:rFonts w:asciiTheme="majorBidi" w:eastAsia="Times New Roman" w:hAnsiTheme="majorBidi" w:cstheme="majorBidi"/>
        </w:rPr>
        <w:t xml:space="preserve">In terms of social theory, many scholars address the role of colonialism on </w:t>
      </w:r>
      <w:r w:rsidR="0041097B">
        <w:rPr>
          <w:rFonts w:asciiTheme="majorBidi" w:eastAsia="Times New Roman" w:hAnsiTheme="majorBidi" w:cstheme="majorBidi"/>
        </w:rPr>
        <w:t xml:space="preserve">the social construction of </w:t>
      </w:r>
      <w:r>
        <w:rPr>
          <w:rFonts w:asciiTheme="majorBidi" w:eastAsia="Times New Roman" w:hAnsiTheme="majorBidi" w:cstheme="majorBidi"/>
        </w:rPr>
        <w:t xml:space="preserve">ownership. </w:t>
      </w:r>
      <w:r w:rsidR="0041097B">
        <w:rPr>
          <w:rFonts w:asciiTheme="majorBidi" w:eastAsia="Times New Roman" w:hAnsiTheme="majorBidi" w:cstheme="majorBidi"/>
        </w:rPr>
        <w:t>One such example t</w:t>
      </w:r>
      <w:r>
        <w:rPr>
          <w:rFonts w:asciiTheme="majorBidi" w:eastAsia="Times New Roman" w:hAnsiTheme="majorBidi" w:cstheme="majorBidi"/>
        </w:rPr>
        <w:t>hroughout the literature</w:t>
      </w:r>
      <w:r w:rsidR="0041097B">
        <w:rPr>
          <w:rFonts w:asciiTheme="majorBidi" w:eastAsia="Times New Roman" w:hAnsiTheme="majorBidi" w:cstheme="majorBidi"/>
        </w:rPr>
        <w:t xml:space="preserve"> is</w:t>
      </w:r>
      <w:r>
        <w:rPr>
          <w:rFonts w:asciiTheme="majorBidi" w:eastAsia="Times New Roman" w:hAnsiTheme="majorBidi" w:cstheme="majorBidi"/>
        </w:rPr>
        <w:t xml:space="preserve"> the concept of war and “war booty</w:t>
      </w:r>
      <w:r w:rsidR="0041097B">
        <w:rPr>
          <w:rFonts w:asciiTheme="majorBidi" w:eastAsia="Times New Roman" w:hAnsiTheme="majorBidi" w:cstheme="majorBidi"/>
        </w:rPr>
        <w:t>.</w:t>
      </w:r>
      <w:r w:rsidR="009F2A01">
        <w:rPr>
          <w:rFonts w:asciiTheme="majorBidi" w:eastAsia="Times New Roman" w:hAnsiTheme="majorBidi" w:cstheme="majorBidi"/>
        </w:rPr>
        <w:t>”</w:t>
      </w:r>
      <w:r w:rsidR="004F5ECE" w:rsidRPr="007F751A">
        <w:rPr>
          <w:rStyle w:val="FootnoteReference"/>
          <w:rFonts w:asciiTheme="majorBidi" w:eastAsia="Times New Roman" w:hAnsiTheme="majorBidi" w:cstheme="majorBidi"/>
        </w:rPr>
        <w:footnoteReference w:id="20"/>
      </w:r>
      <w:r w:rsidR="004F5ECE">
        <w:rPr>
          <w:rFonts w:asciiTheme="majorBidi" w:eastAsia="Times New Roman" w:hAnsiTheme="majorBidi" w:cstheme="majorBidi"/>
        </w:rPr>
        <w:t xml:space="preserve"> </w:t>
      </w:r>
      <w:r w:rsidR="0041097B">
        <w:rPr>
          <w:rFonts w:asciiTheme="majorBidi" w:eastAsia="Times New Roman" w:hAnsiTheme="majorBidi" w:cstheme="majorBidi"/>
        </w:rPr>
        <w:t>T</w:t>
      </w:r>
      <w:r w:rsidR="004F5ECE" w:rsidRPr="007F751A">
        <w:rPr>
          <w:rFonts w:asciiTheme="majorBidi" w:eastAsia="Times New Roman" w:hAnsiTheme="majorBidi" w:cstheme="majorBidi"/>
        </w:rPr>
        <w:t>he French</w:t>
      </w:r>
      <w:r w:rsidR="0041097B">
        <w:rPr>
          <w:rFonts w:asciiTheme="majorBidi" w:eastAsia="Times New Roman" w:hAnsiTheme="majorBidi" w:cstheme="majorBidi"/>
        </w:rPr>
        <w:t>, after their colonial annexation of Cambodia, now</w:t>
      </w:r>
      <w:r w:rsidR="004F5ECE" w:rsidRPr="007F751A">
        <w:rPr>
          <w:rFonts w:asciiTheme="majorBidi" w:eastAsia="Times New Roman" w:hAnsiTheme="majorBidi" w:cstheme="majorBidi"/>
        </w:rPr>
        <w:t xml:space="preserve"> display many Cambodian antiquities in their museums.</w:t>
      </w:r>
      <w:r w:rsidR="004F5ECE" w:rsidRPr="007F751A">
        <w:rPr>
          <w:rStyle w:val="FootnoteReference"/>
          <w:rFonts w:asciiTheme="majorBidi" w:eastAsia="Times New Roman" w:hAnsiTheme="majorBidi" w:cstheme="majorBidi"/>
        </w:rPr>
        <w:footnoteReference w:id="21"/>
      </w:r>
      <w:r w:rsidR="004F5ECE" w:rsidRPr="007F751A">
        <w:rPr>
          <w:rFonts w:asciiTheme="majorBidi" w:eastAsia="Times New Roman" w:hAnsiTheme="majorBidi" w:cstheme="majorBidi"/>
        </w:rPr>
        <w:t xml:space="preserve"> </w:t>
      </w:r>
      <w:r w:rsidR="00911C77">
        <w:rPr>
          <w:rFonts w:asciiTheme="majorBidi" w:eastAsia="Times New Roman" w:hAnsiTheme="majorBidi" w:cstheme="majorBidi"/>
        </w:rPr>
        <w:t>Such</w:t>
      </w:r>
      <w:r w:rsidR="004F5ECE">
        <w:rPr>
          <w:rFonts w:asciiTheme="majorBidi" w:eastAsia="Times New Roman" w:hAnsiTheme="majorBidi" w:cstheme="majorBidi"/>
        </w:rPr>
        <w:t xml:space="preserve"> “stolen” artifacts are displayed in </w:t>
      </w:r>
      <w:r w:rsidR="004F5ECE" w:rsidRPr="007F751A">
        <w:rPr>
          <w:rFonts w:asciiTheme="majorBidi" w:eastAsia="Times New Roman" w:hAnsiTheme="majorBidi" w:cstheme="majorBidi"/>
        </w:rPr>
        <w:t>“encyclopedic museums” that solidify social power politics</w:t>
      </w:r>
      <w:r w:rsidR="00565C5E">
        <w:rPr>
          <w:rFonts w:asciiTheme="majorBidi" w:eastAsia="Times New Roman" w:hAnsiTheme="majorBidi" w:cstheme="majorBidi"/>
        </w:rPr>
        <w:t xml:space="preserve">; when traditionally colonial powers display artifacts from all over the developing world void of historical or cultural context, they fetishize and diminish </w:t>
      </w:r>
      <w:r w:rsidR="004F5ECE" w:rsidRPr="007F751A">
        <w:rPr>
          <w:rFonts w:asciiTheme="majorBidi" w:eastAsia="Times New Roman" w:hAnsiTheme="majorBidi" w:cstheme="majorBidi"/>
        </w:rPr>
        <w:t>the “elsewhere.”</w:t>
      </w:r>
      <w:r w:rsidR="004F5ECE" w:rsidRPr="007F751A">
        <w:rPr>
          <w:rStyle w:val="FootnoteReference"/>
          <w:rFonts w:asciiTheme="majorBidi" w:eastAsia="Times New Roman" w:hAnsiTheme="majorBidi" w:cstheme="majorBidi"/>
        </w:rPr>
        <w:footnoteReference w:id="22"/>
      </w:r>
      <w:r w:rsidR="004F5ECE" w:rsidRPr="007F751A">
        <w:rPr>
          <w:rFonts w:asciiTheme="majorBidi" w:eastAsia="Times New Roman" w:hAnsiTheme="majorBidi" w:cstheme="majorBidi"/>
        </w:rPr>
        <w:t xml:space="preserve"> These </w:t>
      </w:r>
      <w:r w:rsidR="009F2A01">
        <w:rPr>
          <w:rFonts w:asciiTheme="majorBidi" w:eastAsia="Times New Roman" w:hAnsiTheme="majorBidi" w:cstheme="majorBidi"/>
        </w:rPr>
        <w:t xml:space="preserve">paternalistic </w:t>
      </w:r>
      <w:r w:rsidR="004F5ECE" w:rsidRPr="007F751A">
        <w:rPr>
          <w:rFonts w:asciiTheme="majorBidi" w:eastAsia="Times New Roman" w:hAnsiTheme="majorBidi" w:cstheme="majorBidi"/>
        </w:rPr>
        <w:t>museum</w:t>
      </w:r>
      <w:r w:rsidR="004F5ECE">
        <w:rPr>
          <w:rFonts w:asciiTheme="majorBidi" w:eastAsia="Times New Roman" w:hAnsiTheme="majorBidi" w:cstheme="majorBidi"/>
        </w:rPr>
        <w:t>s</w:t>
      </w:r>
      <w:r w:rsidR="004F5ECE" w:rsidRPr="007F751A">
        <w:rPr>
          <w:rFonts w:asciiTheme="majorBidi" w:eastAsia="Times New Roman" w:hAnsiTheme="majorBidi" w:cstheme="majorBidi"/>
        </w:rPr>
        <w:t xml:space="preserve"> argue that </w:t>
      </w:r>
      <w:r w:rsidR="009F2A01">
        <w:rPr>
          <w:rFonts w:asciiTheme="majorBidi" w:eastAsia="Times New Roman" w:hAnsiTheme="majorBidi" w:cstheme="majorBidi"/>
        </w:rPr>
        <w:t>cultures</w:t>
      </w:r>
      <w:r w:rsidR="004F5ECE" w:rsidRPr="007F751A">
        <w:rPr>
          <w:rFonts w:asciiTheme="majorBidi" w:eastAsia="Times New Roman" w:hAnsiTheme="majorBidi" w:cstheme="majorBidi"/>
        </w:rPr>
        <w:t xml:space="preserve"> from “elsewhere” are </w:t>
      </w:r>
      <w:r w:rsidR="004F5ECE" w:rsidRPr="007F751A">
        <w:rPr>
          <w:rFonts w:asciiTheme="majorBidi" w:eastAsia="Times New Roman" w:hAnsiTheme="majorBidi" w:cstheme="majorBidi"/>
          <w:i/>
          <w:iCs/>
        </w:rPr>
        <w:t>unable</w:t>
      </w:r>
      <w:r w:rsidR="004F5ECE" w:rsidRPr="007F751A">
        <w:rPr>
          <w:rFonts w:asciiTheme="majorBidi" w:eastAsia="Times New Roman" w:hAnsiTheme="majorBidi" w:cstheme="majorBidi"/>
        </w:rPr>
        <w:t xml:space="preserve"> to financially care for their own artifacts.</w:t>
      </w:r>
      <w:r w:rsidR="004F5ECE" w:rsidRPr="007F751A">
        <w:rPr>
          <w:rStyle w:val="FootnoteReference"/>
          <w:rFonts w:asciiTheme="majorBidi" w:eastAsia="Times New Roman" w:hAnsiTheme="majorBidi" w:cstheme="majorBidi"/>
        </w:rPr>
        <w:footnoteReference w:id="23"/>
      </w:r>
      <w:r w:rsidR="004F5ECE" w:rsidRPr="007F751A">
        <w:rPr>
          <w:rFonts w:asciiTheme="majorBidi" w:eastAsia="Times New Roman" w:hAnsiTheme="majorBidi" w:cstheme="majorBidi"/>
        </w:rPr>
        <w:t xml:space="preserve"> </w:t>
      </w:r>
      <w:r w:rsidR="004C5636">
        <w:rPr>
          <w:rFonts w:asciiTheme="majorBidi" w:eastAsia="Times New Roman" w:hAnsiTheme="majorBidi" w:cstheme="majorBidi"/>
        </w:rPr>
        <w:t>They argue that developing nations, often war stricken, are unable to ensure the safety of artifacts.</w:t>
      </w:r>
      <w:r w:rsidR="004C5636">
        <w:rPr>
          <w:rStyle w:val="FootnoteReference"/>
          <w:rFonts w:asciiTheme="majorBidi" w:eastAsia="Times New Roman" w:hAnsiTheme="majorBidi" w:cstheme="majorBidi"/>
        </w:rPr>
        <w:footnoteReference w:id="24"/>
      </w:r>
      <w:r w:rsidR="004C5636">
        <w:rPr>
          <w:rFonts w:asciiTheme="majorBidi" w:eastAsia="Times New Roman" w:hAnsiTheme="majorBidi" w:cstheme="majorBidi"/>
        </w:rPr>
        <w:t xml:space="preserve"> As a result, the artifacts must be “preserved” or “saved” in encyclopedic museums. </w:t>
      </w:r>
      <w:r w:rsidR="009F2A01">
        <w:rPr>
          <w:rFonts w:asciiTheme="majorBidi" w:eastAsia="Times New Roman" w:hAnsiTheme="majorBidi" w:cstheme="majorBidi"/>
        </w:rPr>
        <w:t>Oth</w:t>
      </w:r>
      <w:r w:rsidR="009D35CC">
        <w:rPr>
          <w:rFonts w:asciiTheme="majorBidi" w:eastAsia="Times New Roman" w:hAnsiTheme="majorBidi" w:cstheme="majorBidi"/>
        </w:rPr>
        <w:t>er social scholars analyze the effects</w:t>
      </w:r>
      <w:r w:rsidR="009F2A01">
        <w:rPr>
          <w:rFonts w:asciiTheme="majorBidi" w:eastAsia="Times New Roman" w:hAnsiTheme="majorBidi" w:cstheme="majorBidi"/>
        </w:rPr>
        <w:t xml:space="preserve"> of</w:t>
      </w:r>
      <w:r w:rsidR="00D42AEA">
        <w:rPr>
          <w:rFonts w:asciiTheme="majorBidi" w:eastAsia="Times New Roman" w:hAnsiTheme="majorBidi" w:cstheme="majorBidi"/>
        </w:rPr>
        <w:t xml:space="preserve"> these</w:t>
      </w:r>
      <w:r w:rsidR="009F2A01">
        <w:rPr>
          <w:rFonts w:asciiTheme="majorBidi" w:eastAsia="Times New Roman" w:hAnsiTheme="majorBidi" w:cstheme="majorBidi"/>
        </w:rPr>
        <w:t xml:space="preserve"> colonial conquests on local </w:t>
      </w:r>
      <w:r w:rsidR="004F5ECE" w:rsidRPr="007F751A">
        <w:rPr>
          <w:rFonts w:asciiTheme="majorBidi" w:eastAsia="Times New Roman" w:hAnsiTheme="majorBidi" w:cstheme="majorBidi"/>
        </w:rPr>
        <w:t>identity politics.</w:t>
      </w:r>
      <w:r w:rsidR="004F5ECE" w:rsidRPr="007F751A">
        <w:rPr>
          <w:rStyle w:val="FootnoteReference"/>
          <w:rFonts w:asciiTheme="majorBidi" w:eastAsia="Times New Roman" w:hAnsiTheme="majorBidi" w:cstheme="majorBidi"/>
        </w:rPr>
        <w:footnoteReference w:id="25"/>
      </w:r>
      <w:r w:rsidR="004F5ECE" w:rsidRPr="007F751A">
        <w:rPr>
          <w:rFonts w:asciiTheme="majorBidi" w:eastAsia="Times New Roman" w:hAnsiTheme="majorBidi" w:cstheme="majorBidi"/>
        </w:rPr>
        <w:t xml:space="preserve"> </w:t>
      </w:r>
      <w:r w:rsidR="00007554">
        <w:rPr>
          <w:rFonts w:asciiTheme="majorBidi" w:eastAsia="Times New Roman" w:hAnsiTheme="majorBidi" w:cstheme="majorBidi"/>
        </w:rPr>
        <w:t>These</w:t>
      </w:r>
      <w:r w:rsidR="004F5ECE" w:rsidRPr="007F751A">
        <w:rPr>
          <w:rFonts w:asciiTheme="majorBidi" w:eastAsia="Times New Roman" w:hAnsiTheme="majorBidi" w:cstheme="majorBidi"/>
        </w:rPr>
        <w:t xml:space="preserve"> scholars assert that </w:t>
      </w:r>
      <w:r w:rsidR="004C5636">
        <w:rPr>
          <w:rFonts w:asciiTheme="majorBidi" w:eastAsia="Times New Roman" w:hAnsiTheme="majorBidi" w:cstheme="majorBidi"/>
        </w:rPr>
        <w:t>autonomous</w:t>
      </w:r>
      <w:r w:rsidR="00D42AEA">
        <w:rPr>
          <w:rFonts w:asciiTheme="majorBidi" w:eastAsia="Times New Roman" w:hAnsiTheme="majorBidi" w:cstheme="majorBidi"/>
        </w:rPr>
        <w:t xml:space="preserve"> artifact ownership contributes</w:t>
      </w:r>
      <w:r w:rsidR="004F5ECE">
        <w:rPr>
          <w:rFonts w:asciiTheme="majorBidi" w:eastAsia="Times New Roman" w:hAnsiTheme="majorBidi" w:cstheme="majorBidi"/>
        </w:rPr>
        <w:t xml:space="preserve"> </w:t>
      </w:r>
      <w:r w:rsidR="00D42AEA">
        <w:rPr>
          <w:rFonts w:asciiTheme="majorBidi" w:eastAsia="Times New Roman" w:hAnsiTheme="majorBidi" w:cstheme="majorBidi"/>
        </w:rPr>
        <w:t>to a culture’s</w:t>
      </w:r>
      <w:r w:rsidR="004F5ECE">
        <w:rPr>
          <w:rFonts w:asciiTheme="majorBidi" w:eastAsia="Times New Roman" w:hAnsiTheme="majorBidi" w:cstheme="majorBidi"/>
        </w:rPr>
        <w:t xml:space="preserve"> identity and pride</w:t>
      </w:r>
      <w:r w:rsidR="004F5ECE" w:rsidRPr="007F751A">
        <w:rPr>
          <w:rFonts w:asciiTheme="majorBidi" w:eastAsia="Times New Roman" w:hAnsiTheme="majorBidi" w:cstheme="majorBidi"/>
        </w:rPr>
        <w:t>.</w:t>
      </w:r>
      <w:r w:rsidR="004F5ECE" w:rsidRPr="007F751A">
        <w:rPr>
          <w:rStyle w:val="FootnoteReference"/>
          <w:rFonts w:asciiTheme="majorBidi" w:eastAsia="Times New Roman" w:hAnsiTheme="majorBidi" w:cstheme="majorBidi"/>
        </w:rPr>
        <w:footnoteReference w:id="26"/>
      </w:r>
      <w:r w:rsidR="004F5ECE" w:rsidRPr="007F751A">
        <w:rPr>
          <w:rFonts w:asciiTheme="majorBidi" w:eastAsia="Times New Roman" w:hAnsiTheme="majorBidi" w:cstheme="majorBidi"/>
        </w:rPr>
        <w:t xml:space="preserve"> </w:t>
      </w:r>
      <w:r w:rsidR="00D42AEA">
        <w:rPr>
          <w:rFonts w:asciiTheme="majorBidi" w:eastAsia="Times New Roman" w:hAnsiTheme="majorBidi" w:cstheme="majorBidi"/>
        </w:rPr>
        <w:t xml:space="preserve">As such, </w:t>
      </w:r>
      <w:r w:rsidR="004C5636">
        <w:rPr>
          <w:rFonts w:asciiTheme="majorBidi" w:eastAsia="Times New Roman" w:hAnsiTheme="majorBidi" w:cstheme="majorBidi"/>
        </w:rPr>
        <w:t>the theft of</w:t>
      </w:r>
      <w:r w:rsidR="00D42AEA">
        <w:rPr>
          <w:rFonts w:asciiTheme="majorBidi" w:eastAsia="Times New Roman" w:hAnsiTheme="majorBidi" w:cstheme="majorBidi"/>
        </w:rPr>
        <w:t xml:space="preserve"> these artifacts diminishes local identity.</w:t>
      </w:r>
    </w:p>
    <w:p w14:paraId="4888B694" w14:textId="40FFFA93" w:rsidR="004F5ECE" w:rsidRPr="007F751A" w:rsidRDefault="004F5ECE" w:rsidP="004C5636">
      <w:pPr>
        <w:spacing w:line="480" w:lineRule="auto"/>
        <w:ind w:firstLine="540"/>
        <w:rPr>
          <w:rFonts w:asciiTheme="majorBidi" w:eastAsia="Times New Roman" w:hAnsiTheme="majorBidi" w:cstheme="majorBidi"/>
        </w:rPr>
      </w:pPr>
      <w:r w:rsidRPr="007F751A">
        <w:rPr>
          <w:rFonts w:asciiTheme="majorBidi" w:eastAsia="Times New Roman" w:hAnsiTheme="majorBidi" w:cstheme="majorBidi"/>
        </w:rPr>
        <w:lastRenderedPageBreak/>
        <w:t xml:space="preserve">Social theorists </w:t>
      </w:r>
      <w:r w:rsidR="00D42AEA">
        <w:rPr>
          <w:rFonts w:asciiTheme="majorBidi" w:eastAsia="Times New Roman" w:hAnsiTheme="majorBidi" w:cstheme="majorBidi"/>
        </w:rPr>
        <w:t xml:space="preserve">disagree about </w:t>
      </w:r>
      <w:r w:rsidR="004C5636">
        <w:rPr>
          <w:rFonts w:asciiTheme="majorBidi" w:eastAsia="Times New Roman" w:hAnsiTheme="majorBidi" w:cstheme="majorBidi"/>
        </w:rPr>
        <w:t>how to resolve</w:t>
      </w:r>
      <w:r w:rsidR="00D42AEA">
        <w:rPr>
          <w:rFonts w:asciiTheme="majorBidi" w:eastAsia="Times New Roman" w:hAnsiTheme="majorBidi" w:cstheme="majorBidi"/>
        </w:rPr>
        <w:t xml:space="preserve"> these colonial and identity issues. They are generally divided into</w:t>
      </w:r>
      <w:r>
        <w:rPr>
          <w:rFonts w:asciiTheme="majorBidi" w:eastAsia="Times New Roman" w:hAnsiTheme="majorBidi" w:cstheme="majorBidi"/>
        </w:rPr>
        <w:t xml:space="preserve"> two groups: </w:t>
      </w:r>
      <w:r w:rsidR="00D42AEA">
        <w:rPr>
          <w:rFonts w:asciiTheme="majorBidi" w:eastAsia="Times New Roman" w:hAnsiTheme="majorBidi" w:cstheme="majorBidi"/>
        </w:rPr>
        <w:t>internationalists</w:t>
      </w:r>
      <w:r w:rsidRPr="007F751A">
        <w:rPr>
          <w:rFonts w:asciiTheme="majorBidi" w:eastAsia="Times New Roman" w:hAnsiTheme="majorBidi" w:cstheme="majorBidi"/>
        </w:rPr>
        <w:t xml:space="preserve"> and nationalis</w:t>
      </w:r>
      <w:r w:rsidR="00D42AEA">
        <w:rPr>
          <w:rFonts w:asciiTheme="majorBidi" w:eastAsia="Times New Roman" w:hAnsiTheme="majorBidi" w:cstheme="majorBidi"/>
        </w:rPr>
        <w:t>ts.</w:t>
      </w:r>
      <w:r w:rsidRPr="007F751A">
        <w:rPr>
          <w:rStyle w:val="FootnoteReference"/>
          <w:rFonts w:asciiTheme="majorBidi" w:eastAsia="Times New Roman" w:hAnsiTheme="majorBidi" w:cstheme="majorBidi"/>
        </w:rPr>
        <w:footnoteReference w:id="27"/>
      </w:r>
      <w:r w:rsidRPr="007F751A">
        <w:rPr>
          <w:rFonts w:asciiTheme="majorBidi" w:eastAsia="Times New Roman" w:hAnsiTheme="majorBidi" w:cstheme="majorBidi"/>
        </w:rPr>
        <w:t xml:space="preserve"> International theorists argue that artifacts should be shared globally and should not be returned to one single country.</w:t>
      </w:r>
      <w:r w:rsidRPr="007F751A">
        <w:rPr>
          <w:rStyle w:val="FootnoteReference"/>
          <w:rFonts w:asciiTheme="majorBidi" w:eastAsia="Times New Roman" w:hAnsiTheme="majorBidi" w:cstheme="majorBidi"/>
        </w:rPr>
        <w:footnoteReference w:id="28"/>
      </w:r>
      <w:r w:rsidRPr="007F751A">
        <w:rPr>
          <w:rFonts w:asciiTheme="majorBidi" w:eastAsia="Times New Roman" w:hAnsiTheme="majorBidi" w:cstheme="majorBidi"/>
        </w:rPr>
        <w:t xml:space="preserve"> The alternative argument is that artifacts are socially essential to national identity. For example, </w:t>
      </w:r>
      <w:r>
        <w:rPr>
          <w:rFonts w:asciiTheme="majorBidi" w:eastAsia="Times New Roman" w:hAnsiTheme="majorBidi" w:cstheme="majorBidi"/>
        </w:rPr>
        <w:t>Saddam Hussein</w:t>
      </w:r>
      <w:r w:rsidRPr="007F751A">
        <w:rPr>
          <w:rFonts w:asciiTheme="majorBidi" w:eastAsia="Times New Roman" w:hAnsiTheme="majorBidi" w:cstheme="majorBidi"/>
        </w:rPr>
        <w:t xml:space="preserve"> </w:t>
      </w:r>
      <w:r>
        <w:rPr>
          <w:rFonts w:asciiTheme="majorBidi" w:eastAsia="Times New Roman" w:hAnsiTheme="majorBidi" w:cstheme="majorBidi"/>
        </w:rPr>
        <w:t>invested</w:t>
      </w:r>
      <w:r w:rsidRPr="007F751A">
        <w:rPr>
          <w:rFonts w:asciiTheme="majorBidi" w:eastAsia="Times New Roman" w:hAnsiTheme="majorBidi" w:cstheme="majorBidi"/>
        </w:rPr>
        <w:t xml:space="preserve"> in archaeological efforts to re-create the “New Babylon” to </w:t>
      </w:r>
      <w:r>
        <w:rPr>
          <w:rFonts w:asciiTheme="majorBidi" w:eastAsia="Times New Roman" w:hAnsiTheme="majorBidi" w:cstheme="majorBidi"/>
        </w:rPr>
        <w:t>create one</w:t>
      </w:r>
      <w:r w:rsidRPr="007F751A">
        <w:rPr>
          <w:rFonts w:asciiTheme="majorBidi" w:eastAsia="Times New Roman" w:hAnsiTheme="majorBidi" w:cstheme="majorBidi"/>
        </w:rPr>
        <w:t xml:space="preserve"> national identity</w:t>
      </w:r>
      <w:r>
        <w:rPr>
          <w:rFonts w:asciiTheme="majorBidi" w:eastAsia="Times New Roman" w:hAnsiTheme="majorBidi" w:cstheme="majorBidi"/>
        </w:rPr>
        <w:t xml:space="preserve"> founded in</w:t>
      </w:r>
      <w:r w:rsidRPr="007F751A">
        <w:rPr>
          <w:rFonts w:asciiTheme="majorBidi" w:eastAsia="Times New Roman" w:hAnsiTheme="majorBidi" w:cstheme="majorBidi"/>
        </w:rPr>
        <w:t xml:space="preserve"> artifacts.</w:t>
      </w:r>
      <w:r w:rsidRPr="007F751A">
        <w:rPr>
          <w:rStyle w:val="FootnoteReference"/>
          <w:rFonts w:asciiTheme="majorBidi" w:eastAsia="Times New Roman" w:hAnsiTheme="majorBidi" w:cstheme="majorBidi"/>
        </w:rPr>
        <w:footnoteReference w:id="29"/>
      </w:r>
    </w:p>
    <w:p w14:paraId="33AB57AF" w14:textId="5FC3B146" w:rsidR="004F5ECE" w:rsidRPr="007F751A" w:rsidRDefault="004F5ECE" w:rsidP="007D5C61">
      <w:pPr>
        <w:spacing w:line="480" w:lineRule="auto"/>
        <w:textAlignment w:val="center"/>
        <w:rPr>
          <w:rFonts w:asciiTheme="majorBidi" w:eastAsia="Times New Roman" w:hAnsiTheme="majorBidi" w:cstheme="majorBidi"/>
        </w:rPr>
      </w:pPr>
      <w:r w:rsidRPr="007F751A">
        <w:rPr>
          <w:rFonts w:asciiTheme="majorBidi" w:eastAsia="Times New Roman" w:hAnsiTheme="majorBidi" w:cstheme="majorBidi"/>
        </w:rPr>
        <w:tab/>
      </w:r>
      <w:r w:rsidR="007D5C61">
        <w:rPr>
          <w:rFonts w:asciiTheme="majorBidi" w:eastAsia="Times New Roman" w:hAnsiTheme="majorBidi" w:cstheme="majorBidi"/>
        </w:rPr>
        <w:t>Most economic and social theorists acknowledge that the foundation for restitution rests in legal theory</w:t>
      </w:r>
      <w:r w:rsidRPr="007F751A">
        <w:rPr>
          <w:rFonts w:asciiTheme="majorBidi" w:eastAsia="Times New Roman" w:hAnsiTheme="majorBidi" w:cstheme="majorBidi"/>
        </w:rPr>
        <w:t>.</w:t>
      </w:r>
      <w:r w:rsidRPr="007F751A">
        <w:rPr>
          <w:rStyle w:val="FootnoteReference"/>
          <w:rFonts w:asciiTheme="majorBidi" w:eastAsia="Times New Roman" w:hAnsiTheme="majorBidi" w:cstheme="majorBidi"/>
        </w:rPr>
        <w:footnoteReference w:id="30"/>
      </w:r>
      <w:r w:rsidRPr="007F751A">
        <w:rPr>
          <w:rFonts w:asciiTheme="majorBidi" w:eastAsia="Times New Roman" w:hAnsiTheme="majorBidi" w:cstheme="majorBidi"/>
        </w:rPr>
        <w:t xml:space="preserve"> These legal theories include international legal apparatuses implemented after the 1970 UNESCO Convention.</w:t>
      </w:r>
      <w:r w:rsidRPr="007F751A">
        <w:rPr>
          <w:rStyle w:val="FootnoteReference"/>
          <w:rFonts w:asciiTheme="majorBidi" w:eastAsia="Times New Roman" w:hAnsiTheme="majorBidi" w:cstheme="majorBidi"/>
        </w:rPr>
        <w:footnoteReference w:id="31"/>
      </w:r>
      <w:r w:rsidRPr="007F751A">
        <w:rPr>
          <w:rFonts w:asciiTheme="majorBidi" w:eastAsia="Times New Roman" w:hAnsiTheme="majorBidi" w:cstheme="majorBidi"/>
        </w:rPr>
        <w:t xml:space="preserve"> They also address the problems that ratification of domestic patrimony laws face due to a lack of enforcement mechanisms.</w:t>
      </w:r>
      <w:r w:rsidRPr="007F751A">
        <w:rPr>
          <w:rStyle w:val="FootnoteReference"/>
          <w:rFonts w:asciiTheme="majorBidi" w:eastAsia="Times New Roman" w:hAnsiTheme="majorBidi" w:cstheme="majorBidi"/>
        </w:rPr>
        <w:footnoteReference w:id="32"/>
      </w:r>
      <w:r w:rsidRPr="007F751A">
        <w:rPr>
          <w:rFonts w:asciiTheme="majorBidi" w:eastAsia="Times New Roman" w:hAnsiTheme="majorBidi" w:cstheme="majorBidi"/>
        </w:rPr>
        <w:t xml:space="preserve"> Specifically addressing Italian restitution, legal theorists </w:t>
      </w:r>
      <w:r>
        <w:rPr>
          <w:rFonts w:asciiTheme="majorBidi" w:eastAsia="Times New Roman" w:hAnsiTheme="majorBidi" w:cstheme="majorBidi"/>
        </w:rPr>
        <w:t>analyze</w:t>
      </w:r>
      <w:r w:rsidRPr="007F751A">
        <w:rPr>
          <w:rFonts w:asciiTheme="majorBidi" w:eastAsia="Times New Roman" w:hAnsiTheme="majorBidi" w:cstheme="majorBidi"/>
        </w:rPr>
        <w:t xml:space="preserve"> “grey solutions” that bypass domestic and legal apparatuses such as bilateral agreements and museum loan programs.</w:t>
      </w:r>
      <w:r w:rsidRPr="007F751A">
        <w:rPr>
          <w:rStyle w:val="FootnoteReference"/>
          <w:rFonts w:asciiTheme="majorBidi" w:eastAsia="Times New Roman" w:hAnsiTheme="majorBidi" w:cstheme="majorBidi"/>
        </w:rPr>
        <w:footnoteReference w:id="33"/>
      </w:r>
    </w:p>
    <w:p w14:paraId="4F4FA38C" w14:textId="5A0D4E8E" w:rsidR="004F5ECE" w:rsidRPr="007F751A" w:rsidRDefault="004F5ECE" w:rsidP="009F3BA6">
      <w:pPr>
        <w:spacing w:line="480" w:lineRule="auto"/>
        <w:textAlignment w:val="center"/>
        <w:rPr>
          <w:rFonts w:asciiTheme="majorBidi" w:hAnsiTheme="majorBidi" w:cstheme="majorBidi"/>
        </w:rPr>
      </w:pPr>
      <w:r w:rsidRPr="007F751A">
        <w:rPr>
          <w:rFonts w:asciiTheme="majorBidi" w:eastAsia="Times New Roman" w:hAnsiTheme="majorBidi" w:cstheme="majorBidi"/>
        </w:rPr>
        <w:tab/>
        <w:t xml:space="preserve">In terms of international law, most legal scholars </w:t>
      </w:r>
      <w:r>
        <w:rPr>
          <w:rFonts w:asciiTheme="majorBidi" w:eastAsia="Times New Roman" w:hAnsiTheme="majorBidi" w:cstheme="majorBidi"/>
        </w:rPr>
        <w:t>identify</w:t>
      </w:r>
      <w:r w:rsidRPr="007F751A">
        <w:rPr>
          <w:rFonts w:asciiTheme="majorBidi" w:eastAsia="Times New Roman" w:hAnsiTheme="majorBidi" w:cstheme="majorBidi"/>
        </w:rPr>
        <w:t xml:space="preserve"> </w:t>
      </w:r>
      <w:r w:rsidRPr="007F751A">
        <w:rPr>
          <w:rFonts w:asciiTheme="majorBidi" w:hAnsiTheme="majorBidi" w:cstheme="majorBidi"/>
        </w:rPr>
        <w:t>UNESCO as the primary legal institution to call for decisive channels for restitution.</w:t>
      </w:r>
      <w:r w:rsidRPr="007F751A">
        <w:rPr>
          <w:rStyle w:val="FootnoteReference"/>
          <w:rFonts w:asciiTheme="majorBidi" w:hAnsiTheme="majorBidi" w:cstheme="majorBidi"/>
        </w:rPr>
        <w:footnoteReference w:id="34"/>
      </w:r>
      <w:r>
        <w:rPr>
          <w:rFonts w:asciiTheme="majorBidi" w:hAnsiTheme="majorBidi" w:cstheme="majorBidi"/>
        </w:rPr>
        <w:t xml:space="preserve"> The 1970 UNESCO Convention, </w:t>
      </w:r>
      <w:r w:rsidRPr="007F751A">
        <w:rPr>
          <w:rFonts w:asciiTheme="majorBidi" w:hAnsiTheme="majorBidi" w:cstheme="majorBidi"/>
        </w:rPr>
        <w:t>an agre</w:t>
      </w:r>
      <w:r>
        <w:rPr>
          <w:rFonts w:asciiTheme="majorBidi" w:hAnsiTheme="majorBidi" w:cstheme="majorBidi"/>
        </w:rPr>
        <w:t>ement between 120 countries,</w:t>
      </w:r>
      <w:r w:rsidRPr="007F751A">
        <w:rPr>
          <w:rFonts w:asciiTheme="majorBidi" w:hAnsiTheme="majorBidi" w:cstheme="majorBidi"/>
        </w:rPr>
        <w:t xml:space="preserve"> </w:t>
      </w:r>
      <w:r>
        <w:rPr>
          <w:rFonts w:asciiTheme="majorBidi" w:hAnsiTheme="majorBidi" w:cstheme="majorBidi"/>
        </w:rPr>
        <w:t>sets</w:t>
      </w:r>
      <w:r w:rsidRPr="007F751A">
        <w:rPr>
          <w:rFonts w:asciiTheme="majorBidi" w:hAnsiTheme="majorBidi" w:cstheme="majorBidi"/>
        </w:rPr>
        <w:t xml:space="preserve"> forth three fundamental policies that countries must ratify and agree to: protect artifacts domestically, control movement of artifacts, and return artifacts.</w:t>
      </w:r>
      <w:r w:rsidRPr="007F751A">
        <w:rPr>
          <w:rStyle w:val="FootnoteReference"/>
          <w:rFonts w:asciiTheme="majorBidi" w:hAnsiTheme="majorBidi" w:cstheme="majorBidi"/>
        </w:rPr>
        <w:footnoteReference w:id="35"/>
      </w:r>
      <w:r w:rsidRPr="007F751A">
        <w:rPr>
          <w:rFonts w:asciiTheme="majorBidi" w:hAnsiTheme="majorBidi" w:cstheme="majorBidi"/>
        </w:rPr>
        <w:t xml:space="preserve"> </w:t>
      </w:r>
      <w:r>
        <w:rPr>
          <w:rFonts w:asciiTheme="majorBidi" w:hAnsiTheme="majorBidi" w:cstheme="majorBidi"/>
        </w:rPr>
        <w:t>Scholars</w:t>
      </w:r>
      <w:r w:rsidRPr="007F751A">
        <w:rPr>
          <w:rFonts w:asciiTheme="majorBidi" w:hAnsiTheme="majorBidi" w:cstheme="majorBidi"/>
        </w:rPr>
        <w:t xml:space="preserve"> disagree on the effectiveness of this convention. Some legal scholars believe that the </w:t>
      </w:r>
      <w:r w:rsidRPr="007F751A">
        <w:rPr>
          <w:rFonts w:asciiTheme="majorBidi" w:hAnsiTheme="majorBidi" w:cstheme="majorBidi"/>
        </w:rPr>
        <w:lastRenderedPageBreak/>
        <w:t>convention is responsible for increased artifact restitution rates.</w:t>
      </w:r>
      <w:r w:rsidRPr="007F751A">
        <w:rPr>
          <w:rStyle w:val="FootnoteReference"/>
          <w:rFonts w:asciiTheme="majorBidi" w:hAnsiTheme="majorBidi" w:cstheme="majorBidi"/>
        </w:rPr>
        <w:footnoteReference w:id="36"/>
      </w:r>
      <w:r w:rsidRPr="007F751A">
        <w:rPr>
          <w:rFonts w:asciiTheme="majorBidi" w:hAnsiTheme="majorBidi" w:cstheme="majorBidi"/>
        </w:rPr>
        <w:t xml:space="preserve"> Others are skeptical because of issues with legal diversity (different countries hold private museums to different legal standards).</w:t>
      </w:r>
      <w:r w:rsidRPr="007F751A">
        <w:rPr>
          <w:rStyle w:val="FootnoteReference"/>
          <w:rFonts w:asciiTheme="majorBidi" w:hAnsiTheme="majorBidi" w:cstheme="majorBidi"/>
        </w:rPr>
        <w:footnoteReference w:id="37"/>
      </w:r>
      <w:r w:rsidRPr="007F751A">
        <w:rPr>
          <w:rFonts w:asciiTheme="majorBidi" w:hAnsiTheme="majorBidi" w:cstheme="majorBidi"/>
        </w:rPr>
        <w:t xml:space="preserve"> </w:t>
      </w:r>
      <w:r w:rsidR="009F3BA6">
        <w:rPr>
          <w:rFonts w:asciiTheme="majorBidi" w:hAnsiTheme="majorBidi" w:cstheme="majorBidi"/>
        </w:rPr>
        <w:t>Legal</w:t>
      </w:r>
      <w:r w:rsidRPr="007F751A">
        <w:rPr>
          <w:rFonts w:asciiTheme="majorBidi" w:hAnsiTheme="majorBidi" w:cstheme="majorBidi"/>
        </w:rPr>
        <w:t xml:space="preserve"> theorists also identify issues with jurisdiction.</w:t>
      </w:r>
      <w:r w:rsidRPr="007F751A">
        <w:rPr>
          <w:rStyle w:val="FootnoteReference"/>
          <w:rFonts w:asciiTheme="majorBidi" w:hAnsiTheme="majorBidi" w:cstheme="majorBidi"/>
        </w:rPr>
        <w:footnoteReference w:id="38"/>
      </w:r>
      <w:r w:rsidRPr="007F751A">
        <w:rPr>
          <w:rFonts w:asciiTheme="majorBidi" w:hAnsiTheme="majorBidi" w:cstheme="majorBidi"/>
        </w:rPr>
        <w:t xml:space="preserve"> For example, Italy must sue for restitution in the courts of the country in control of the artifact which means that their domestic legal protections do not apply.</w:t>
      </w:r>
      <w:r w:rsidRPr="007F751A">
        <w:rPr>
          <w:rStyle w:val="FootnoteReference"/>
          <w:rFonts w:asciiTheme="majorBidi" w:hAnsiTheme="majorBidi" w:cstheme="majorBidi"/>
        </w:rPr>
        <w:footnoteReference w:id="39"/>
      </w:r>
      <w:r w:rsidRPr="007F751A">
        <w:rPr>
          <w:rFonts w:asciiTheme="majorBidi" w:hAnsiTheme="majorBidi" w:cstheme="majorBidi"/>
        </w:rPr>
        <w:t xml:space="preserve"> Other theorists think that international law is not an effective solution because it lacks intentional recognition and authority due to the fact that there are no enforcement mechanisms in place in the 1970 UNESCO Convention.</w:t>
      </w:r>
      <w:r w:rsidRPr="007F751A">
        <w:rPr>
          <w:rStyle w:val="FootnoteReference"/>
          <w:rFonts w:asciiTheme="majorBidi" w:hAnsiTheme="majorBidi" w:cstheme="majorBidi"/>
        </w:rPr>
        <w:footnoteReference w:id="40"/>
      </w:r>
    </w:p>
    <w:p w14:paraId="470EF6EC" w14:textId="056713D4" w:rsidR="00DD568A" w:rsidRDefault="009F3BA6" w:rsidP="00B623FA">
      <w:pPr>
        <w:spacing w:line="480" w:lineRule="auto"/>
        <w:ind w:firstLine="720"/>
        <w:textAlignment w:val="center"/>
        <w:rPr>
          <w:rFonts w:asciiTheme="majorBidi" w:hAnsiTheme="majorBidi" w:cstheme="majorBidi"/>
        </w:rPr>
      </w:pPr>
      <w:r>
        <w:rPr>
          <w:rFonts w:asciiTheme="majorBidi" w:hAnsiTheme="majorBidi" w:cstheme="majorBidi"/>
        </w:rPr>
        <w:t>Like international law</w:t>
      </w:r>
      <w:r w:rsidR="004F5ECE" w:rsidRPr="007F751A">
        <w:rPr>
          <w:rFonts w:asciiTheme="majorBidi" w:hAnsiTheme="majorBidi" w:cstheme="majorBidi"/>
        </w:rPr>
        <w:t xml:space="preserve">, some legal theorists argue that </w:t>
      </w:r>
      <w:r>
        <w:rPr>
          <w:rFonts w:asciiTheme="majorBidi" w:hAnsiTheme="majorBidi" w:cstheme="majorBidi"/>
        </w:rPr>
        <w:t xml:space="preserve">domestic law is </w:t>
      </w:r>
      <w:r w:rsidR="004F5ECE" w:rsidRPr="007F751A">
        <w:rPr>
          <w:rFonts w:asciiTheme="majorBidi" w:hAnsiTheme="majorBidi" w:cstheme="majorBidi"/>
        </w:rPr>
        <w:t xml:space="preserve">not effective because </w:t>
      </w:r>
      <w:r>
        <w:rPr>
          <w:rFonts w:asciiTheme="majorBidi" w:hAnsiTheme="majorBidi" w:cstheme="majorBidi"/>
        </w:rPr>
        <w:t>it</w:t>
      </w:r>
      <w:r w:rsidR="004F5ECE" w:rsidRPr="007F751A">
        <w:rPr>
          <w:rFonts w:asciiTheme="majorBidi" w:hAnsiTheme="majorBidi" w:cstheme="majorBidi"/>
        </w:rPr>
        <w:t xml:space="preserve"> </w:t>
      </w:r>
      <w:r>
        <w:rPr>
          <w:rFonts w:asciiTheme="majorBidi" w:hAnsiTheme="majorBidi" w:cstheme="majorBidi"/>
        </w:rPr>
        <w:t>does not</w:t>
      </w:r>
      <w:r w:rsidR="004F5ECE" w:rsidRPr="007F751A">
        <w:rPr>
          <w:rFonts w:asciiTheme="majorBidi" w:hAnsiTheme="majorBidi" w:cstheme="majorBidi"/>
        </w:rPr>
        <w:t xml:space="preserve"> </w:t>
      </w:r>
      <w:r>
        <w:rPr>
          <w:rFonts w:asciiTheme="majorBidi" w:hAnsiTheme="majorBidi" w:cstheme="majorBidi"/>
        </w:rPr>
        <w:t>contain</w:t>
      </w:r>
      <w:r w:rsidR="004F5ECE" w:rsidRPr="007F751A">
        <w:rPr>
          <w:rFonts w:asciiTheme="majorBidi" w:hAnsiTheme="majorBidi" w:cstheme="majorBidi"/>
        </w:rPr>
        <w:t xml:space="preserve"> monetary value</w:t>
      </w:r>
      <w:r>
        <w:rPr>
          <w:rFonts w:asciiTheme="majorBidi" w:hAnsiTheme="majorBidi" w:cstheme="majorBidi"/>
        </w:rPr>
        <w:t xml:space="preserve"> to artifacts</w:t>
      </w:r>
      <w:r w:rsidR="004F5ECE" w:rsidRPr="007F751A">
        <w:rPr>
          <w:rFonts w:asciiTheme="majorBidi" w:hAnsiTheme="majorBidi" w:cstheme="majorBidi"/>
        </w:rPr>
        <w:t xml:space="preserve"> or enforcement mechanisms such as criminal liability.</w:t>
      </w:r>
      <w:r w:rsidR="004F5ECE" w:rsidRPr="007F751A">
        <w:rPr>
          <w:rStyle w:val="FootnoteReference"/>
          <w:rFonts w:asciiTheme="majorBidi" w:hAnsiTheme="majorBidi" w:cstheme="majorBidi"/>
        </w:rPr>
        <w:footnoteReference w:id="41"/>
      </w:r>
      <w:r w:rsidR="004F5ECE" w:rsidRPr="007F751A">
        <w:rPr>
          <w:rFonts w:asciiTheme="majorBidi" w:hAnsiTheme="majorBidi" w:cstheme="majorBidi"/>
        </w:rPr>
        <w:t xml:space="preserve"> </w:t>
      </w:r>
      <w:r>
        <w:rPr>
          <w:rFonts w:asciiTheme="majorBidi" w:hAnsiTheme="majorBidi" w:cstheme="majorBidi"/>
        </w:rPr>
        <w:t>In addition, Simon Mackenzie</w:t>
      </w:r>
      <w:r w:rsidR="004F5ECE" w:rsidRPr="007F751A">
        <w:rPr>
          <w:rFonts w:asciiTheme="majorBidi" w:hAnsiTheme="majorBidi" w:cstheme="majorBidi"/>
        </w:rPr>
        <w:t xml:space="preserve"> argue</w:t>
      </w:r>
      <w:r>
        <w:rPr>
          <w:rFonts w:asciiTheme="majorBidi" w:hAnsiTheme="majorBidi" w:cstheme="majorBidi"/>
        </w:rPr>
        <w:t>s</w:t>
      </w:r>
      <w:r w:rsidR="004F5ECE" w:rsidRPr="007F751A">
        <w:rPr>
          <w:rFonts w:asciiTheme="majorBidi" w:hAnsiTheme="majorBidi" w:cstheme="majorBidi"/>
        </w:rPr>
        <w:t xml:space="preserve"> that enforcement </w:t>
      </w:r>
      <w:r>
        <w:rPr>
          <w:rFonts w:asciiTheme="majorBidi" w:hAnsiTheme="majorBidi" w:cstheme="majorBidi"/>
        </w:rPr>
        <w:t>mechanisms are</w:t>
      </w:r>
      <w:r w:rsidR="004F5ECE" w:rsidRPr="007F751A">
        <w:rPr>
          <w:rFonts w:asciiTheme="majorBidi" w:hAnsiTheme="majorBidi" w:cstheme="majorBidi"/>
        </w:rPr>
        <w:t xml:space="preserve"> not effective because patrimony laws are interpreted socially instead of legally</w:t>
      </w:r>
      <w:r w:rsidR="00DF1BAC">
        <w:rPr>
          <w:rFonts w:asciiTheme="majorBidi" w:hAnsiTheme="majorBidi" w:cstheme="majorBidi"/>
        </w:rPr>
        <w:t>.</w:t>
      </w:r>
      <w:r w:rsidR="004F5ECE" w:rsidRPr="007F751A">
        <w:rPr>
          <w:rStyle w:val="FootnoteReference"/>
          <w:rFonts w:asciiTheme="majorBidi" w:hAnsiTheme="majorBidi" w:cstheme="majorBidi"/>
        </w:rPr>
        <w:footnoteReference w:id="42"/>
      </w:r>
      <w:r w:rsidR="004F5ECE" w:rsidRPr="007F751A">
        <w:rPr>
          <w:rFonts w:asciiTheme="majorBidi" w:hAnsiTheme="majorBidi" w:cstheme="majorBidi"/>
        </w:rPr>
        <w:t xml:space="preserve"> </w:t>
      </w:r>
      <w:r w:rsidR="00B623FA">
        <w:rPr>
          <w:rFonts w:asciiTheme="majorBidi" w:hAnsiTheme="majorBidi" w:cstheme="majorBidi"/>
        </w:rPr>
        <w:t>In terms of acquisitions, for instance, social interpretation of law fostered widespread acceptance that a lack of provenance does not detract from value.</w:t>
      </w:r>
      <w:r w:rsidR="00B623FA">
        <w:rPr>
          <w:rStyle w:val="FootnoteReference"/>
          <w:rFonts w:asciiTheme="majorBidi" w:hAnsiTheme="majorBidi" w:cstheme="majorBidi"/>
        </w:rPr>
        <w:footnoteReference w:id="43"/>
      </w:r>
      <w:r w:rsidR="00B623FA">
        <w:rPr>
          <w:rFonts w:asciiTheme="majorBidi" w:hAnsiTheme="majorBidi" w:cstheme="majorBidi"/>
        </w:rPr>
        <w:t xml:space="preserve"> Such</w:t>
      </w:r>
      <w:r>
        <w:rPr>
          <w:rFonts w:asciiTheme="majorBidi" w:hAnsiTheme="majorBidi" w:cstheme="majorBidi"/>
        </w:rPr>
        <w:t xml:space="preserve"> social interpretation is</w:t>
      </w:r>
      <w:r w:rsidR="00B623FA">
        <w:rPr>
          <w:rFonts w:asciiTheme="majorBidi" w:hAnsiTheme="majorBidi" w:cstheme="majorBidi"/>
        </w:rPr>
        <w:t xml:space="preserve"> also</w:t>
      </w:r>
      <w:r>
        <w:rPr>
          <w:rFonts w:asciiTheme="majorBidi" w:hAnsiTheme="majorBidi" w:cstheme="majorBidi"/>
        </w:rPr>
        <w:t xml:space="preserve"> influenced by the language used to construct meanings about ownership. For example,</w:t>
      </w:r>
      <w:r w:rsidR="003C7587">
        <w:rPr>
          <w:rFonts w:asciiTheme="majorBidi" w:hAnsiTheme="majorBidi" w:cstheme="majorBidi"/>
        </w:rPr>
        <w:t xml:space="preserve"> </w:t>
      </w:r>
      <w:r w:rsidR="004F5ECE" w:rsidRPr="007F751A">
        <w:rPr>
          <w:rFonts w:asciiTheme="majorBidi" w:hAnsiTheme="majorBidi" w:cstheme="majorBidi"/>
        </w:rPr>
        <w:t>wording in patrimony laws</w:t>
      </w:r>
      <w:r w:rsidR="004F5ECE">
        <w:rPr>
          <w:rFonts w:asciiTheme="majorBidi" w:hAnsiTheme="majorBidi" w:cstheme="majorBidi"/>
        </w:rPr>
        <w:t xml:space="preserve"> </w:t>
      </w:r>
      <w:r w:rsidR="004F5ECE" w:rsidRPr="007F751A">
        <w:rPr>
          <w:rFonts w:asciiTheme="majorBidi" w:hAnsiTheme="majorBidi" w:cstheme="majorBidi"/>
        </w:rPr>
        <w:t>shows a wide diversity in defin</w:t>
      </w:r>
      <w:r w:rsidR="001518D0">
        <w:rPr>
          <w:rFonts w:asciiTheme="majorBidi" w:hAnsiTheme="majorBidi" w:cstheme="majorBidi"/>
        </w:rPr>
        <w:t>ing</w:t>
      </w:r>
      <w:r w:rsidR="003C7587">
        <w:rPr>
          <w:rFonts w:asciiTheme="majorBidi" w:hAnsiTheme="majorBidi" w:cstheme="majorBidi"/>
        </w:rPr>
        <w:t xml:space="preserve"> “cultural object” which leads to </w:t>
      </w:r>
      <w:r w:rsidR="004F5ECE" w:rsidRPr="007F751A">
        <w:rPr>
          <w:rFonts w:asciiTheme="majorBidi" w:hAnsiTheme="majorBidi" w:cstheme="majorBidi"/>
        </w:rPr>
        <w:t>ineffective domestic law.</w:t>
      </w:r>
      <w:r w:rsidR="004F5ECE" w:rsidRPr="007F751A">
        <w:rPr>
          <w:rStyle w:val="FootnoteReference"/>
          <w:rFonts w:asciiTheme="majorBidi" w:hAnsiTheme="majorBidi" w:cstheme="majorBidi"/>
        </w:rPr>
        <w:footnoteReference w:id="44"/>
      </w:r>
    </w:p>
    <w:p w14:paraId="27E50CDC" w14:textId="22CB1222" w:rsidR="00DA4925" w:rsidRPr="00982AB7" w:rsidRDefault="003221DD" w:rsidP="00240D64">
      <w:pPr>
        <w:spacing w:line="480" w:lineRule="auto"/>
        <w:ind w:firstLine="720"/>
        <w:textAlignment w:val="center"/>
        <w:rPr>
          <w:rFonts w:asciiTheme="majorBidi" w:hAnsiTheme="majorBidi" w:cstheme="majorBidi"/>
          <w:color w:val="222222"/>
          <w:shd w:val="clear" w:color="auto" w:fill="FFFFFF"/>
        </w:rPr>
      </w:pPr>
      <w:r>
        <w:rPr>
          <w:rFonts w:asciiTheme="majorBidi" w:hAnsiTheme="majorBidi" w:cstheme="majorBidi"/>
          <w:color w:val="222222"/>
          <w:shd w:val="clear" w:color="auto" w:fill="FFFFFF"/>
        </w:rPr>
        <w:t xml:space="preserve">Therefore, </w:t>
      </w:r>
      <w:r w:rsidR="008A2F61">
        <w:rPr>
          <w:rFonts w:asciiTheme="majorBidi" w:hAnsiTheme="majorBidi" w:cstheme="majorBidi"/>
          <w:color w:val="222222"/>
          <w:shd w:val="clear" w:color="auto" w:fill="FFFFFF"/>
        </w:rPr>
        <w:t>s</w:t>
      </w:r>
      <w:r>
        <w:rPr>
          <w:rFonts w:asciiTheme="majorBidi" w:hAnsiTheme="majorBidi" w:cstheme="majorBidi"/>
          <w:color w:val="222222"/>
          <w:shd w:val="clear" w:color="auto" w:fill="FFFFFF"/>
        </w:rPr>
        <w:t xml:space="preserve">ocial theorists identify the symbolism behind restitution and the </w:t>
      </w:r>
      <w:r w:rsidR="00B623FA">
        <w:rPr>
          <w:rFonts w:asciiTheme="majorBidi" w:hAnsiTheme="majorBidi" w:cstheme="majorBidi"/>
          <w:color w:val="222222"/>
          <w:shd w:val="clear" w:color="auto" w:fill="FFFFFF"/>
        </w:rPr>
        <w:t>identity</w:t>
      </w:r>
      <w:r>
        <w:rPr>
          <w:rFonts w:asciiTheme="majorBidi" w:hAnsiTheme="majorBidi" w:cstheme="majorBidi"/>
          <w:color w:val="222222"/>
          <w:shd w:val="clear" w:color="auto" w:fill="FFFFFF"/>
        </w:rPr>
        <w:t xml:space="preserve"> politics associated with the </w:t>
      </w:r>
      <w:r w:rsidR="00982AB7">
        <w:rPr>
          <w:rFonts w:asciiTheme="majorBidi" w:hAnsiTheme="majorBidi" w:cstheme="majorBidi"/>
          <w:color w:val="222222"/>
          <w:shd w:val="clear" w:color="auto" w:fill="FFFFFF"/>
        </w:rPr>
        <w:t xml:space="preserve">use of cultural context in </w:t>
      </w:r>
      <w:r>
        <w:rPr>
          <w:rFonts w:asciiTheme="majorBidi" w:hAnsiTheme="majorBidi" w:cstheme="majorBidi"/>
          <w:color w:val="222222"/>
          <w:shd w:val="clear" w:color="auto" w:fill="FFFFFF"/>
        </w:rPr>
        <w:t xml:space="preserve">framing ownership. </w:t>
      </w:r>
      <w:r w:rsidR="00982AB7">
        <w:rPr>
          <w:rFonts w:asciiTheme="majorBidi" w:hAnsiTheme="majorBidi" w:cstheme="majorBidi"/>
          <w:color w:val="222222"/>
          <w:shd w:val="clear" w:color="auto" w:fill="FFFFFF"/>
        </w:rPr>
        <w:t>In addition, economic scholars approach restitution using the impact of postcolonial economic structures. The</w:t>
      </w:r>
      <w:r w:rsidR="00FC5445">
        <w:rPr>
          <w:rFonts w:asciiTheme="majorBidi" w:hAnsiTheme="majorBidi" w:cstheme="majorBidi"/>
          <w:color w:val="222222"/>
          <w:shd w:val="clear" w:color="auto" w:fill="FFFFFF"/>
        </w:rPr>
        <w:t>se</w:t>
      </w:r>
      <w:r w:rsidR="00982AB7">
        <w:rPr>
          <w:rFonts w:asciiTheme="majorBidi" w:hAnsiTheme="majorBidi" w:cstheme="majorBidi"/>
          <w:color w:val="222222"/>
          <w:shd w:val="clear" w:color="auto" w:fill="FFFFFF"/>
        </w:rPr>
        <w:t xml:space="preserve"> two bodies of literature, however, do not address power relationships that are not colonial, such as the </w:t>
      </w:r>
      <w:r w:rsidR="00240D64">
        <w:rPr>
          <w:rFonts w:asciiTheme="majorBidi" w:hAnsiTheme="majorBidi" w:cstheme="majorBidi"/>
          <w:color w:val="222222"/>
          <w:shd w:val="clear" w:color="auto" w:fill="FFFFFF"/>
        </w:rPr>
        <w:lastRenderedPageBreak/>
        <w:t>U.S. and Italy; both the U.S. and Italy do not have extensive colonial histories like England and France.</w:t>
      </w:r>
      <w:r w:rsidR="00240D64">
        <w:rPr>
          <w:rStyle w:val="FootnoteReference"/>
          <w:rFonts w:asciiTheme="majorBidi" w:hAnsiTheme="majorBidi" w:cstheme="majorBidi"/>
          <w:color w:val="222222"/>
          <w:shd w:val="clear" w:color="auto" w:fill="FFFFFF"/>
        </w:rPr>
        <w:footnoteReference w:id="45"/>
      </w:r>
      <w:r w:rsidR="00982AB7">
        <w:rPr>
          <w:rFonts w:asciiTheme="majorBidi" w:hAnsiTheme="majorBidi" w:cstheme="majorBidi"/>
          <w:color w:val="222222"/>
          <w:shd w:val="clear" w:color="auto" w:fill="FFFFFF"/>
        </w:rPr>
        <w:t xml:space="preserve"> Finally, legal theory identifies how provenance information can reveal underlying interests of museums and taskforces. Legal and economic theory also suggests market nations are invested in provenance transparency to prove legal standing for restitution.</w:t>
      </w:r>
      <w:r>
        <w:rPr>
          <w:rFonts w:asciiTheme="majorBidi" w:hAnsiTheme="majorBidi" w:cstheme="majorBidi"/>
          <w:color w:val="222222"/>
          <w:shd w:val="clear" w:color="auto" w:fill="FFFFFF"/>
        </w:rPr>
        <w:t xml:space="preserve"> </w:t>
      </w:r>
      <w:r w:rsidR="00240D64">
        <w:rPr>
          <w:rFonts w:asciiTheme="majorBidi" w:eastAsia="Times New Roman" w:hAnsiTheme="majorBidi" w:cstheme="majorBidi"/>
        </w:rPr>
        <w:t xml:space="preserve">This paper offers a critique of these legal theories and identifies that current legal assumptions do not fully account for museums’ investment in restitution. </w:t>
      </w:r>
    </w:p>
    <w:p w14:paraId="7CC1F17D" w14:textId="77777777" w:rsidR="00240D64" w:rsidRDefault="00240D64" w:rsidP="00A86397">
      <w:pPr>
        <w:spacing w:line="480" w:lineRule="auto"/>
        <w:textAlignment w:val="center"/>
        <w:rPr>
          <w:rFonts w:asciiTheme="majorBidi" w:eastAsia="Times New Roman" w:hAnsiTheme="majorBidi" w:cstheme="majorBidi"/>
        </w:rPr>
      </w:pPr>
    </w:p>
    <w:p w14:paraId="36AD1D82" w14:textId="1F34D5C8" w:rsidR="004F5ECE" w:rsidRDefault="00A86397" w:rsidP="00A86397">
      <w:pPr>
        <w:spacing w:line="480" w:lineRule="auto"/>
        <w:textAlignment w:val="center"/>
        <w:rPr>
          <w:rFonts w:asciiTheme="majorBidi" w:eastAsia="Times New Roman" w:hAnsiTheme="majorBidi" w:cstheme="majorBidi"/>
          <w:b/>
          <w:bCs/>
        </w:rPr>
      </w:pPr>
      <w:r w:rsidRPr="00A86397">
        <w:rPr>
          <w:rFonts w:asciiTheme="majorBidi" w:eastAsia="Times New Roman" w:hAnsiTheme="majorBidi" w:cstheme="majorBidi"/>
          <w:b/>
          <w:bCs/>
        </w:rPr>
        <w:t xml:space="preserve">Methodology </w:t>
      </w:r>
    </w:p>
    <w:p w14:paraId="5C1B14CD" w14:textId="79EB5E60" w:rsidR="007A6C6E" w:rsidRDefault="00457EDA" w:rsidP="006B73C9">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This project is a discourse analysis because t</w:t>
      </w:r>
      <w:r w:rsidR="00235804">
        <w:rPr>
          <w:rFonts w:asciiTheme="majorBidi" w:eastAsia="Times New Roman" w:hAnsiTheme="majorBidi" w:cstheme="majorBidi"/>
          <w:shd w:val="clear" w:color="auto" w:fill="FFFFFF"/>
        </w:rPr>
        <w:t xml:space="preserve">he answer to </w:t>
      </w:r>
      <w:r w:rsidR="000D7E92">
        <w:rPr>
          <w:rFonts w:asciiTheme="majorBidi" w:eastAsia="Times New Roman" w:hAnsiTheme="majorBidi" w:cstheme="majorBidi"/>
          <w:shd w:val="clear" w:color="auto" w:fill="FFFFFF"/>
        </w:rPr>
        <w:t>the</w:t>
      </w:r>
      <w:r w:rsidR="00235804">
        <w:rPr>
          <w:rFonts w:asciiTheme="majorBidi" w:eastAsia="Times New Roman" w:hAnsiTheme="majorBidi" w:cstheme="majorBidi"/>
          <w:shd w:val="clear" w:color="auto" w:fill="FFFFFF"/>
        </w:rPr>
        <w:t xml:space="preserve"> question</w:t>
      </w:r>
      <w:r w:rsidR="00DC56FE">
        <w:rPr>
          <w:rFonts w:asciiTheme="majorBidi" w:eastAsia="Times New Roman" w:hAnsiTheme="majorBidi" w:cstheme="majorBidi"/>
          <w:shd w:val="clear" w:color="auto" w:fill="FFFFFF"/>
        </w:rPr>
        <w:t xml:space="preserve"> of shared meanings of ownership between taskforces and museums</w:t>
      </w:r>
      <w:r w:rsidR="00235804">
        <w:rPr>
          <w:rFonts w:asciiTheme="majorBidi" w:eastAsia="Times New Roman" w:hAnsiTheme="majorBidi" w:cstheme="majorBidi"/>
          <w:shd w:val="clear" w:color="auto" w:fill="FFFFFF"/>
        </w:rPr>
        <w:t xml:space="preserve"> is not rooted </w:t>
      </w:r>
      <w:r w:rsidR="00A54EBD">
        <w:rPr>
          <w:rFonts w:asciiTheme="majorBidi" w:eastAsia="Times New Roman" w:hAnsiTheme="majorBidi" w:cstheme="majorBidi"/>
          <w:shd w:val="clear" w:color="auto" w:fill="FFFFFF"/>
        </w:rPr>
        <w:t xml:space="preserve">in </w:t>
      </w:r>
      <w:r w:rsidR="00235804">
        <w:rPr>
          <w:rFonts w:asciiTheme="majorBidi" w:eastAsia="Times New Roman" w:hAnsiTheme="majorBidi" w:cstheme="majorBidi"/>
          <w:shd w:val="clear" w:color="auto" w:fill="FFFFFF"/>
        </w:rPr>
        <w:t>the text of international or domestic law</w:t>
      </w:r>
      <w:r w:rsidR="00A54EBD">
        <w:rPr>
          <w:rFonts w:asciiTheme="majorBidi" w:eastAsia="Times New Roman" w:hAnsiTheme="majorBidi" w:cstheme="majorBidi"/>
          <w:shd w:val="clear" w:color="auto" w:fill="FFFFFF"/>
        </w:rPr>
        <w:t xml:space="preserve">. Instead, literature points to </w:t>
      </w:r>
      <w:r w:rsidR="00235804">
        <w:rPr>
          <w:rFonts w:asciiTheme="majorBidi" w:eastAsia="Times New Roman" w:hAnsiTheme="majorBidi" w:cstheme="majorBidi"/>
          <w:shd w:val="clear" w:color="auto" w:fill="FFFFFF"/>
        </w:rPr>
        <w:t>the implementation and</w:t>
      </w:r>
      <w:r w:rsidR="00A54EBD">
        <w:rPr>
          <w:rFonts w:asciiTheme="majorBidi" w:eastAsia="Times New Roman" w:hAnsiTheme="majorBidi" w:cstheme="majorBidi"/>
          <w:shd w:val="clear" w:color="auto" w:fill="FFFFFF"/>
        </w:rPr>
        <w:t xml:space="preserve"> practice </w:t>
      </w:r>
      <w:r w:rsidR="00235804">
        <w:rPr>
          <w:rFonts w:asciiTheme="majorBidi" w:eastAsia="Times New Roman" w:hAnsiTheme="majorBidi" w:cstheme="majorBidi"/>
          <w:shd w:val="clear" w:color="auto" w:fill="FFFFFF"/>
        </w:rPr>
        <w:t xml:space="preserve">of law </w:t>
      </w:r>
      <w:r w:rsidR="00A54EBD">
        <w:rPr>
          <w:rFonts w:asciiTheme="majorBidi" w:eastAsia="Times New Roman" w:hAnsiTheme="majorBidi" w:cstheme="majorBidi"/>
          <w:shd w:val="clear" w:color="auto" w:fill="FFFFFF"/>
        </w:rPr>
        <w:t>as the reason for</w:t>
      </w:r>
      <w:r w:rsidR="00DC56FE">
        <w:rPr>
          <w:rFonts w:asciiTheme="majorBidi" w:eastAsia="Times New Roman" w:hAnsiTheme="majorBidi" w:cstheme="majorBidi"/>
          <w:shd w:val="clear" w:color="auto" w:fill="FFFFFF"/>
        </w:rPr>
        <w:t xml:space="preserve"> differing viewpoints about ownership</w:t>
      </w:r>
      <w:r w:rsidR="004F5ECE" w:rsidRPr="00366874">
        <w:rPr>
          <w:rFonts w:asciiTheme="majorBidi" w:eastAsia="Times New Roman" w:hAnsiTheme="majorBidi" w:cstheme="majorBidi"/>
          <w:shd w:val="clear" w:color="auto" w:fill="FFFFFF"/>
        </w:rPr>
        <w:t>.</w:t>
      </w:r>
      <w:r w:rsidR="004F5ECE" w:rsidRPr="00366874">
        <w:rPr>
          <w:rStyle w:val="FootnoteReference"/>
          <w:rFonts w:asciiTheme="majorBidi" w:eastAsia="Times New Roman" w:hAnsiTheme="majorBidi" w:cstheme="majorBidi"/>
          <w:shd w:val="clear" w:color="auto" w:fill="FFFFFF"/>
        </w:rPr>
        <w:footnoteReference w:id="46"/>
      </w:r>
      <w:r w:rsidR="004F5ECE" w:rsidRPr="00366874">
        <w:rPr>
          <w:rFonts w:asciiTheme="majorBidi" w:eastAsia="Times New Roman" w:hAnsiTheme="majorBidi" w:cstheme="majorBidi"/>
          <w:shd w:val="clear" w:color="auto" w:fill="FFFFFF"/>
        </w:rPr>
        <w:t xml:space="preserve"> The appropriate method to analyze this dilemma is discourse analysis </w:t>
      </w:r>
      <w:r w:rsidR="00235804">
        <w:rPr>
          <w:rFonts w:asciiTheme="majorBidi" w:eastAsia="Times New Roman" w:hAnsiTheme="majorBidi" w:cstheme="majorBidi"/>
          <w:shd w:val="clear" w:color="auto" w:fill="FFFFFF"/>
        </w:rPr>
        <w:t xml:space="preserve">because it </w:t>
      </w:r>
      <w:r>
        <w:rPr>
          <w:rFonts w:asciiTheme="majorBidi" w:eastAsia="Times New Roman" w:hAnsiTheme="majorBidi" w:cstheme="majorBidi"/>
          <w:shd w:val="clear" w:color="auto" w:fill="FFFFFF"/>
        </w:rPr>
        <w:t>can uncover</w:t>
      </w:r>
      <w:r w:rsidR="00235804">
        <w:rPr>
          <w:rFonts w:asciiTheme="majorBidi" w:eastAsia="Times New Roman" w:hAnsiTheme="majorBidi" w:cstheme="majorBidi"/>
          <w:shd w:val="clear" w:color="auto" w:fill="FFFFFF"/>
        </w:rPr>
        <w:t xml:space="preserve"> the reason for differing</w:t>
      </w:r>
      <w:r w:rsidR="004F5ECE" w:rsidRPr="00366874">
        <w:rPr>
          <w:rFonts w:asciiTheme="majorBidi" w:eastAsia="Times New Roman" w:hAnsiTheme="majorBidi" w:cstheme="majorBidi"/>
          <w:shd w:val="clear" w:color="auto" w:fill="FFFFFF"/>
        </w:rPr>
        <w:t xml:space="preserve"> social practices.</w:t>
      </w:r>
      <w:r w:rsidR="004F5ECE" w:rsidRPr="00366874">
        <w:rPr>
          <w:rStyle w:val="FootnoteReference"/>
          <w:rFonts w:asciiTheme="majorBidi" w:eastAsia="Times New Roman" w:hAnsiTheme="majorBidi" w:cstheme="majorBidi"/>
          <w:shd w:val="clear" w:color="auto" w:fill="FFFFFF"/>
        </w:rPr>
        <w:footnoteReference w:id="47"/>
      </w:r>
      <w:r w:rsidR="00235804">
        <w:rPr>
          <w:rFonts w:asciiTheme="majorBidi" w:eastAsia="Times New Roman" w:hAnsiTheme="majorBidi" w:cstheme="majorBidi"/>
          <w:shd w:val="clear" w:color="auto" w:fill="FFFFFF"/>
        </w:rPr>
        <w:t xml:space="preserve"> </w:t>
      </w:r>
      <w:r w:rsidR="00A64B2E">
        <w:rPr>
          <w:rFonts w:asciiTheme="majorBidi" w:eastAsia="Times New Roman" w:hAnsiTheme="majorBidi" w:cstheme="majorBidi"/>
          <w:shd w:val="clear" w:color="auto" w:fill="FFFFFF"/>
        </w:rPr>
        <w:t xml:space="preserve">Looking at how </w:t>
      </w:r>
      <w:r w:rsidR="006B73C9">
        <w:rPr>
          <w:rFonts w:asciiTheme="majorBidi" w:eastAsia="Times New Roman" w:hAnsiTheme="majorBidi" w:cstheme="majorBidi"/>
          <w:shd w:val="clear" w:color="auto" w:fill="FFFFFF"/>
        </w:rPr>
        <w:t>such meanings are</w:t>
      </w:r>
      <w:r w:rsidR="00A64B2E">
        <w:rPr>
          <w:rFonts w:asciiTheme="majorBidi" w:eastAsia="Times New Roman" w:hAnsiTheme="majorBidi" w:cstheme="majorBidi"/>
          <w:shd w:val="clear" w:color="auto" w:fill="FFFFFF"/>
        </w:rPr>
        <w:t xml:space="preserve"> constructed helps us understand the role </w:t>
      </w:r>
      <w:r w:rsidR="006B73C9">
        <w:rPr>
          <w:rFonts w:asciiTheme="majorBidi" w:eastAsia="Times New Roman" w:hAnsiTheme="majorBidi" w:cstheme="majorBidi"/>
          <w:shd w:val="clear" w:color="auto" w:fill="FFFFFF"/>
        </w:rPr>
        <w:t xml:space="preserve">of </w:t>
      </w:r>
      <w:r w:rsidR="00A64B2E">
        <w:rPr>
          <w:rFonts w:asciiTheme="majorBidi" w:eastAsia="Times New Roman" w:hAnsiTheme="majorBidi" w:cstheme="majorBidi"/>
          <w:shd w:val="clear" w:color="auto" w:fill="FFFFFF"/>
        </w:rPr>
        <w:t xml:space="preserve">market accountability and responsibility, national and post-colonial identity, and </w:t>
      </w:r>
      <w:r w:rsidR="006B73C9">
        <w:rPr>
          <w:rFonts w:asciiTheme="majorBidi" w:eastAsia="Times New Roman" w:hAnsiTheme="majorBidi" w:cstheme="majorBidi"/>
          <w:shd w:val="clear" w:color="auto" w:fill="FFFFFF"/>
        </w:rPr>
        <w:t xml:space="preserve">the vulnerability of legal frameworks has on the framing of ownership. </w:t>
      </w:r>
      <w:r w:rsidR="00235804">
        <w:rPr>
          <w:rFonts w:asciiTheme="majorBidi" w:eastAsia="Times New Roman" w:hAnsiTheme="majorBidi" w:cstheme="majorBidi"/>
          <w:shd w:val="clear" w:color="auto" w:fill="FFFFFF"/>
        </w:rPr>
        <w:t>Furthermore, d</w:t>
      </w:r>
      <w:r w:rsidR="004F5ECE" w:rsidRPr="00366874">
        <w:rPr>
          <w:rFonts w:asciiTheme="majorBidi" w:eastAsia="Times New Roman" w:hAnsiTheme="majorBidi" w:cstheme="majorBidi"/>
          <w:shd w:val="clear" w:color="auto" w:fill="FFFFFF"/>
        </w:rPr>
        <w:t xml:space="preserve">iscourse analysis </w:t>
      </w:r>
      <w:r w:rsidR="00235804">
        <w:rPr>
          <w:rFonts w:asciiTheme="majorBidi" w:eastAsia="Times New Roman" w:hAnsiTheme="majorBidi" w:cstheme="majorBidi"/>
          <w:shd w:val="clear" w:color="auto" w:fill="FFFFFF"/>
        </w:rPr>
        <w:t xml:space="preserve">circumscribes the </w:t>
      </w:r>
      <w:r>
        <w:rPr>
          <w:rFonts w:asciiTheme="majorBidi" w:eastAsia="Times New Roman" w:hAnsiTheme="majorBidi" w:cstheme="majorBidi"/>
          <w:shd w:val="clear" w:color="auto" w:fill="FFFFFF"/>
        </w:rPr>
        <w:t xml:space="preserve">quantitative </w:t>
      </w:r>
      <w:r w:rsidR="00235804">
        <w:rPr>
          <w:rFonts w:asciiTheme="majorBidi" w:eastAsia="Times New Roman" w:hAnsiTheme="majorBidi" w:cstheme="majorBidi"/>
          <w:shd w:val="clear" w:color="auto" w:fill="FFFFFF"/>
        </w:rPr>
        <w:t>dilemma that</w:t>
      </w:r>
      <w:r w:rsidR="004F5ECE" w:rsidRPr="00366874">
        <w:rPr>
          <w:rFonts w:asciiTheme="majorBidi" w:eastAsia="Times New Roman" w:hAnsiTheme="majorBidi" w:cstheme="majorBidi"/>
          <w:shd w:val="clear" w:color="auto" w:fill="FFFFFF"/>
        </w:rPr>
        <w:t xml:space="preserve"> museums are not required to publish data about their acquisitions.</w:t>
      </w:r>
      <w:r w:rsidR="004F5ECE" w:rsidRPr="00366874">
        <w:rPr>
          <w:rStyle w:val="FootnoteReference"/>
          <w:rFonts w:asciiTheme="majorBidi" w:eastAsia="Times New Roman" w:hAnsiTheme="majorBidi" w:cstheme="majorBidi"/>
          <w:shd w:val="clear" w:color="auto" w:fill="FFFFFF"/>
        </w:rPr>
        <w:footnoteReference w:id="48"/>
      </w:r>
    </w:p>
    <w:p w14:paraId="51DE2F9B" w14:textId="7FD11221" w:rsidR="00DC56FE" w:rsidRDefault="00DC56FE" w:rsidP="00DC56FE">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I chose two actors for this discourse analysis: museums and international taskforces. This decision is based on the 2006 bilateral agreement between the United States and Italy.</w:t>
      </w:r>
      <w:r>
        <w:rPr>
          <w:rStyle w:val="FootnoteReference"/>
          <w:rFonts w:asciiTheme="majorBidi" w:eastAsia="Times New Roman" w:hAnsiTheme="majorBidi" w:cstheme="majorBidi"/>
          <w:shd w:val="clear" w:color="auto" w:fill="FFFFFF"/>
        </w:rPr>
        <w:footnoteReference w:id="49"/>
      </w:r>
      <w:r>
        <w:rPr>
          <w:rFonts w:asciiTheme="majorBidi" w:eastAsia="Times New Roman" w:hAnsiTheme="majorBidi" w:cstheme="majorBidi"/>
          <w:shd w:val="clear" w:color="auto" w:fill="FFFFFF"/>
        </w:rPr>
        <w:t xml:space="preserve"> In this legal document, museums and taskforces are charged with shared responsibility to cooperate on </w:t>
      </w:r>
      <w:r>
        <w:rPr>
          <w:rFonts w:asciiTheme="majorBidi" w:eastAsia="Times New Roman" w:hAnsiTheme="majorBidi" w:cstheme="majorBidi"/>
          <w:shd w:val="clear" w:color="auto" w:fill="FFFFFF"/>
        </w:rPr>
        <w:lastRenderedPageBreak/>
        <w:t>restitution. However, even after this agreement, restitution rates did not go up. Therefore, understanding differences in fundamental understandings of ownership between these two actors could provide insight into why the implementation and practice of restitution is still so low.</w:t>
      </w:r>
    </w:p>
    <w:p w14:paraId="6B107785" w14:textId="77777777" w:rsidR="009B5537" w:rsidRDefault="00DC56FE" w:rsidP="00DC56FE">
      <w:pPr>
        <w:spacing w:line="480" w:lineRule="auto"/>
        <w:ind w:firstLine="720"/>
        <w:rPr>
          <w:rFonts w:asciiTheme="majorBidi" w:hAnsiTheme="majorBidi" w:cstheme="majorBidi"/>
        </w:rPr>
      </w:pPr>
      <w:r>
        <w:rPr>
          <w:rFonts w:asciiTheme="majorBidi" w:eastAsia="Times New Roman" w:hAnsiTheme="majorBidi" w:cstheme="majorBidi"/>
          <w:shd w:val="clear" w:color="auto" w:fill="FFFFFF"/>
        </w:rPr>
        <w:t xml:space="preserve">In terms of museum discourses, I used a combination of website data and Twitter posts. </w:t>
      </w:r>
      <w:r w:rsidR="009734E8" w:rsidRPr="001C376E">
        <w:rPr>
          <w:rFonts w:asciiTheme="majorBidi" w:hAnsiTheme="majorBidi" w:cstheme="majorBidi"/>
        </w:rPr>
        <w:t>For Italian museums, I collected discourses from the websites of the Musei Capitolini, the Civico Museo Archeologico, and the Museo Nazionale Romano. I also considered discourses of U.S. museums including the Toledo Museum</w:t>
      </w:r>
      <w:r w:rsidR="009734E8">
        <w:rPr>
          <w:rFonts w:asciiTheme="majorBidi" w:hAnsiTheme="majorBidi" w:cstheme="majorBidi"/>
        </w:rPr>
        <w:t xml:space="preserve"> of Art</w:t>
      </w:r>
      <w:r w:rsidR="009734E8" w:rsidRPr="001C376E">
        <w:rPr>
          <w:rFonts w:asciiTheme="majorBidi" w:hAnsiTheme="majorBidi" w:cstheme="majorBidi"/>
        </w:rPr>
        <w:t xml:space="preserve">, the Seattle Art Museum, the Metropolitan Museum of Art, and the Museum of Fine Arts in Boston. </w:t>
      </w:r>
      <w:r>
        <w:rPr>
          <w:rFonts w:asciiTheme="majorBidi" w:hAnsiTheme="majorBidi" w:cstheme="majorBidi"/>
        </w:rPr>
        <w:t xml:space="preserve">I chose these specific museums because each had designated exhibits for Roman artifacts. </w:t>
      </w:r>
      <w:r w:rsidR="00866C86">
        <w:rPr>
          <w:rFonts w:asciiTheme="majorBidi" w:hAnsiTheme="majorBidi" w:cstheme="majorBidi"/>
        </w:rPr>
        <w:t>For each of these</w:t>
      </w:r>
      <w:r>
        <w:rPr>
          <w:rFonts w:asciiTheme="majorBidi" w:hAnsiTheme="majorBidi" w:cstheme="majorBidi"/>
        </w:rPr>
        <w:t xml:space="preserve"> web site sources</w:t>
      </w:r>
      <w:r w:rsidR="00866C86">
        <w:rPr>
          <w:rFonts w:asciiTheme="majorBidi" w:hAnsiTheme="majorBidi" w:cstheme="majorBidi"/>
        </w:rPr>
        <w:t xml:space="preserve">, I gathered information from four to five of the individual </w:t>
      </w:r>
      <w:r>
        <w:rPr>
          <w:rFonts w:asciiTheme="majorBidi" w:hAnsiTheme="majorBidi" w:cstheme="majorBidi"/>
        </w:rPr>
        <w:t>pages that depicted a specific Roman artifact.</w:t>
      </w:r>
      <w:r w:rsidR="00866C86">
        <w:rPr>
          <w:rFonts w:asciiTheme="majorBidi" w:hAnsiTheme="majorBidi" w:cstheme="majorBidi"/>
        </w:rPr>
        <w:t xml:space="preserve"> </w:t>
      </w:r>
      <w:r w:rsidR="009734E8" w:rsidRPr="001C376E">
        <w:rPr>
          <w:rFonts w:asciiTheme="majorBidi" w:hAnsiTheme="majorBidi" w:cstheme="majorBidi"/>
        </w:rPr>
        <w:t>In addition</w:t>
      </w:r>
      <w:r w:rsidR="00866C86">
        <w:rPr>
          <w:rFonts w:asciiTheme="majorBidi" w:hAnsiTheme="majorBidi" w:cstheme="majorBidi"/>
        </w:rPr>
        <w:t xml:space="preserve"> to these pages</w:t>
      </w:r>
      <w:r w:rsidR="009734E8" w:rsidRPr="001C376E">
        <w:rPr>
          <w:rFonts w:asciiTheme="majorBidi" w:hAnsiTheme="majorBidi" w:cstheme="majorBidi"/>
        </w:rPr>
        <w:t>, I analyzed official Tweets from the Gallerie Uffizi and the Metropolitan Museum of Art</w:t>
      </w:r>
      <w:r>
        <w:rPr>
          <w:rFonts w:asciiTheme="majorBidi" w:hAnsiTheme="majorBidi" w:cstheme="majorBidi"/>
        </w:rPr>
        <w:t>, both of which are museums that have extensive Roman artifacts in their collections</w:t>
      </w:r>
      <w:r w:rsidR="009734E8" w:rsidRPr="001C376E">
        <w:rPr>
          <w:rFonts w:asciiTheme="majorBidi" w:hAnsiTheme="majorBidi" w:cstheme="majorBidi"/>
        </w:rPr>
        <w:t>.</w:t>
      </w:r>
      <w:r w:rsidR="009734E8">
        <w:rPr>
          <w:rFonts w:asciiTheme="majorBidi" w:hAnsiTheme="majorBidi" w:cstheme="majorBidi"/>
        </w:rPr>
        <w:t xml:space="preserve"> </w:t>
      </w:r>
      <w:r>
        <w:rPr>
          <w:rFonts w:asciiTheme="majorBidi" w:hAnsiTheme="majorBidi" w:cstheme="majorBidi"/>
        </w:rPr>
        <w:t xml:space="preserve">For concision, I chose Tweets that </w:t>
      </w:r>
      <w:r w:rsidR="00866C86">
        <w:rPr>
          <w:rFonts w:asciiTheme="majorBidi" w:hAnsiTheme="majorBidi" w:cstheme="majorBidi"/>
        </w:rPr>
        <w:t>had similar hashtags and content that addressed ownership</w:t>
      </w:r>
      <w:r>
        <w:rPr>
          <w:rFonts w:asciiTheme="majorBidi" w:hAnsiTheme="majorBidi" w:cstheme="majorBidi"/>
        </w:rPr>
        <w:t>. For example, I analyzed Tweets that used terms</w:t>
      </w:r>
      <w:r w:rsidR="00866C86">
        <w:rPr>
          <w:rFonts w:asciiTheme="majorBidi" w:hAnsiTheme="majorBidi" w:cstheme="majorBidi"/>
        </w:rPr>
        <w:t xml:space="preserve"> such as “#stolen” or “#repatriated.”</w:t>
      </w:r>
      <w:r w:rsidR="0056422D">
        <w:rPr>
          <w:rStyle w:val="FootnoteReference"/>
          <w:rFonts w:asciiTheme="majorBidi" w:hAnsiTheme="majorBidi" w:cstheme="majorBidi"/>
        </w:rPr>
        <w:footnoteReference w:id="50"/>
      </w:r>
      <w:r w:rsidR="004E13B9">
        <w:rPr>
          <w:rFonts w:asciiTheme="majorBidi" w:hAnsiTheme="majorBidi" w:cstheme="majorBidi"/>
        </w:rPr>
        <w:t xml:space="preserve"> </w:t>
      </w:r>
    </w:p>
    <w:p w14:paraId="5824F1D7" w14:textId="5FF4FA48" w:rsidR="009B5537" w:rsidRDefault="009734E8" w:rsidP="005B79D5">
      <w:pPr>
        <w:spacing w:line="480" w:lineRule="auto"/>
        <w:ind w:firstLine="720"/>
        <w:rPr>
          <w:rFonts w:asciiTheme="majorBidi" w:hAnsiTheme="majorBidi" w:cstheme="majorBidi"/>
        </w:rPr>
      </w:pPr>
      <w:r>
        <w:rPr>
          <w:rFonts w:asciiTheme="majorBidi" w:hAnsiTheme="majorBidi" w:cstheme="majorBidi"/>
        </w:rPr>
        <w:t>For international taskforces, I analyzed</w:t>
      </w:r>
      <w:r w:rsidRPr="001C376E">
        <w:rPr>
          <w:rFonts w:asciiTheme="majorBidi" w:hAnsiTheme="majorBidi" w:cstheme="majorBidi"/>
        </w:rPr>
        <w:t xml:space="preserve"> discourses by U.S. and Italian restitution taskforces, includ</w:t>
      </w:r>
      <w:r>
        <w:rPr>
          <w:rFonts w:asciiTheme="majorBidi" w:hAnsiTheme="majorBidi" w:cstheme="majorBidi"/>
        </w:rPr>
        <w:t xml:space="preserve">ing the Italian Carabinieri, </w:t>
      </w:r>
      <w:r w:rsidRPr="001C376E">
        <w:rPr>
          <w:rFonts w:asciiTheme="majorBidi" w:hAnsiTheme="majorBidi" w:cstheme="majorBidi"/>
        </w:rPr>
        <w:t xml:space="preserve">the U.S. State Department, </w:t>
      </w:r>
      <w:r>
        <w:rPr>
          <w:rFonts w:asciiTheme="majorBidi" w:hAnsiTheme="majorBidi" w:cstheme="majorBidi"/>
        </w:rPr>
        <w:t xml:space="preserve">the U.S. </w:t>
      </w:r>
      <w:r w:rsidRPr="001C376E">
        <w:rPr>
          <w:rFonts w:asciiTheme="majorBidi" w:hAnsiTheme="majorBidi" w:cstheme="majorBidi"/>
        </w:rPr>
        <w:t xml:space="preserve">Federal Bureau of Investigation, and </w:t>
      </w:r>
      <w:r>
        <w:rPr>
          <w:rFonts w:asciiTheme="majorBidi" w:hAnsiTheme="majorBidi" w:cstheme="majorBidi"/>
        </w:rPr>
        <w:t xml:space="preserve">U.S. </w:t>
      </w:r>
      <w:r w:rsidRPr="001C376E">
        <w:rPr>
          <w:rFonts w:asciiTheme="majorBidi" w:hAnsiTheme="majorBidi" w:cstheme="majorBidi"/>
        </w:rPr>
        <w:t xml:space="preserve">Homeland Security. </w:t>
      </w:r>
      <w:r w:rsidR="009B5537">
        <w:rPr>
          <w:rFonts w:asciiTheme="majorBidi" w:hAnsiTheme="majorBidi" w:cstheme="majorBidi"/>
        </w:rPr>
        <w:t xml:space="preserve">I chose these specific agencies because their websites include information about artifact restitution. </w:t>
      </w:r>
      <w:r w:rsidR="005B79D5">
        <w:rPr>
          <w:rFonts w:asciiTheme="majorBidi" w:hAnsiTheme="majorBidi" w:cstheme="majorBidi"/>
        </w:rPr>
        <w:t>In addition, their</w:t>
      </w:r>
      <w:r w:rsidR="009B5537">
        <w:rPr>
          <w:rFonts w:asciiTheme="majorBidi" w:hAnsiTheme="majorBidi" w:cstheme="majorBidi"/>
        </w:rPr>
        <w:t xml:space="preserve"> Twitter pages were also active with posts about restitution efforts</w:t>
      </w:r>
      <w:r w:rsidR="005B79D5">
        <w:rPr>
          <w:rFonts w:asciiTheme="majorBidi" w:hAnsiTheme="majorBidi" w:cstheme="majorBidi"/>
        </w:rPr>
        <w:t>. In choosing which Tweets to analyze, I used similar parameters to the museums Tweets. The Tweets needed to contain words and phrases related to ownership and they needed to be focused on the topic of either restitution or Italian artifacts.</w:t>
      </w:r>
    </w:p>
    <w:p w14:paraId="1B2CC189" w14:textId="085FBEE0" w:rsidR="00AB69FA" w:rsidRDefault="009734E8" w:rsidP="00DA4925">
      <w:pPr>
        <w:spacing w:line="480" w:lineRule="auto"/>
        <w:ind w:firstLine="720"/>
        <w:rPr>
          <w:rFonts w:asciiTheme="majorBidi" w:hAnsiTheme="majorBidi" w:cstheme="majorBidi"/>
        </w:rPr>
      </w:pPr>
      <w:r>
        <w:rPr>
          <w:rFonts w:asciiTheme="majorBidi" w:hAnsiTheme="majorBidi" w:cstheme="majorBidi"/>
        </w:rPr>
        <w:lastRenderedPageBreak/>
        <w:t xml:space="preserve">I analyzed </w:t>
      </w:r>
      <w:r w:rsidR="00DA4925">
        <w:rPr>
          <w:rFonts w:asciiTheme="majorBidi" w:hAnsiTheme="majorBidi" w:cstheme="majorBidi"/>
        </w:rPr>
        <w:t xml:space="preserve">the language of </w:t>
      </w:r>
      <w:r>
        <w:rPr>
          <w:rFonts w:asciiTheme="majorBidi" w:hAnsiTheme="majorBidi" w:cstheme="majorBidi"/>
        </w:rPr>
        <w:t>these diver</w:t>
      </w:r>
      <w:r w:rsidR="00512996">
        <w:rPr>
          <w:rFonts w:asciiTheme="majorBidi" w:hAnsiTheme="majorBidi" w:cstheme="majorBidi"/>
        </w:rPr>
        <w:t>se discourses using four methodological tools</w:t>
      </w:r>
      <w:r>
        <w:rPr>
          <w:rFonts w:asciiTheme="majorBidi" w:hAnsiTheme="majorBidi" w:cstheme="majorBidi"/>
        </w:rPr>
        <w:t xml:space="preserve">: temporal indicators, visual context, </w:t>
      </w:r>
      <w:r w:rsidR="00DA4925">
        <w:rPr>
          <w:rFonts w:asciiTheme="majorBidi" w:hAnsiTheme="majorBidi" w:cstheme="majorBidi"/>
        </w:rPr>
        <w:t>transparency</w:t>
      </w:r>
      <w:r>
        <w:rPr>
          <w:rFonts w:asciiTheme="majorBidi" w:hAnsiTheme="majorBidi" w:cstheme="majorBidi"/>
        </w:rPr>
        <w:t xml:space="preserve"> of provenance</w:t>
      </w:r>
      <w:r w:rsidR="00DA4925">
        <w:rPr>
          <w:rFonts w:asciiTheme="majorBidi" w:hAnsiTheme="majorBidi" w:cstheme="majorBidi"/>
        </w:rPr>
        <w:t xml:space="preserve"> information</w:t>
      </w:r>
      <w:r>
        <w:rPr>
          <w:rFonts w:asciiTheme="majorBidi" w:hAnsiTheme="majorBidi" w:cstheme="majorBidi"/>
        </w:rPr>
        <w:t xml:space="preserve">, as well as key words and phrases concerning ownership. </w:t>
      </w:r>
      <w:r w:rsidR="004F5ECE" w:rsidRPr="00366874">
        <w:rPr>
          <w:rFonts w:asciiTheme="majorBidi" w:hAnsiTheme="majorBidi" w:cstheme="majorBidi"/>
        </w:rPr>
        <w:t>Temporal indicators, also known as temporal proximity, are words and phrases that identify how an actor understands time in relation to a social practice.</w:t>
      </w:r>
      <w:r w:rsidR="004F5ECE" w:rsidRPr="00366874">
        <w:rPr>
          <w:rStyle w:val="FootnoteReference"/>
          <w:rFonts w:asciiTheme="majorBidi" w:hAnsiTheme="majorBidi" w:cstheme="majorBidi"/>
        </w:rPr>
        <w:footnoteReference w:id="51"/>
      </w:r>
      <w:r w:rsidR="004F5ECE" w:rsidRPr="00366874">
        <w:rPr>
          <w:rFonts w:asciiTheme="majorBidi" w:hAnsiTheme="majorBidi" w:cstheme="majorBidi"/>
        </w:rPr>
        <w:t xml:space="preserve"> These temporal markers vary from explicit increments of time to vague statements such as “recently.” </w:t>
      </w:r>
      <w:r w:rsidR="004E13B9">
        <w:rPr>
          <w:rFonts w:asciiTheme="majorBidi" w:hAnsiTheme="majorBidi" w:cstheme="majorBidi"/>
        </w:rPr>
        <w:t>In terms of this research, I looked for textual references to the relationship between cont</w:t>
      </w:r>
      <w:r w:rsidR="00512996">
        <w:rPr>
          <w:rFonts w:asciiTheme="majorBidi" w:hAnsiTheme="majorBidi" w:cstheme="majorBidi"/>
        </w:rPr>
        <w:t xml:space="preserve">emporary Italy and Ancient Rome. Indication of the nexus between these two temporal contexts gives insight into the level of responsibility that the historical provenance has on an institution’s notion of ownership. </w:t>
      </w:r>
    </w:p>
    <w:p w14:paraId="30C620BD" w14:textId="3745C0CB" w:rsidR="00D65556" w:rsidRPr="00CD45B1" w:rsidRDefault="004F5ECE" w:rsidP="00CD45B1">
      <w:pPr>
        <w:widowControl w:val="0"/>
        <w:autoSpaceDE w:val="0"/>
        <w:autoSpaceDN w:val="0"/>
        <w:adjustRightInd w:val="0"/>
        <w:spacing w:line="480" w:lineRule="auto"/>
        <w:rPr>
          <w:rFonts w:asciiTheme="majorBidi" w:hAnsiTheme="majorBidi" w:cstheme="majorBidi"/>
        </w:rPr>
      </w:pPr>
      <w:r>
        <w:rPr>
          <w:rFonts w:asciiTheme="majorBidi" w:hAnsiTheme="majorBidi" w:cstheme="majorBidi"/>
        </w:rPr>
        <w:tab/>
        <w:t>Visual</w:t>
      </w:r>
      <w:r w:rsidR="00E36E33">
        <w:rPr>
          <w:rFonts w:asciiTheme="majorBidi" w:hAnsiTheme="majorBidi" w:cstheme="majorBidi"/>
        </w:rPr>
        <w:t xml:space="preserve"> discourse</w:t>
      </w:r>
      <w:r>
        <w:rPr>
          <w:rFonts w:asciiTheme="majorBidi" w:hAnsiTheme="majorBidi" w:cstheme="majorBidi"/>
        </w:rPr>
        <w:t xml:space="preserve"> analysis </w:t>
      </w:r>
      <w:r w:rsidR="00EB7058">
        <w:rPr>
          <w:rFonts w:asciiTheme="majorBidi" w:hAnsiTheme="majorBidi" w:cstheme="majorBidi"/>
        </w:rPr>
        <w:t>is</w:t>
      </w:r>
      <w:r>
        <w:rPr>
          <w:rFonts w:asciiTheme="majorBidi" w:hAnsiTheme="majorBidi" w:cstheme="majorBidi"/>
        </w:rPr>
        <w:t xml:space="preserve"> an</w:t>
      </w:r>
      <w:r w:rsidR="007F2D1C">
        <w:rPr>
          <w:rFonts w:asciiTheme="majorBidi" w:hAnsiTheme="majorBidi" w:cstheme="majorBidi"/>
        </w:rPr>
        <w:t>other</w:t>
      </w:r>
      <w:r>
        <w:rPr>
          <w:rFonts w:asciiTheme="majorBidi" w:hAnsiTheme="majorBidi" w:cstheme="majorBidi"/>
        </w:rPr>
        <w:t xml:space="preserve"> important </w:t>
      </w:r>
      <w:r w:rsidR="001F7E7F">
        <w:rPr>
          <w:rFonts w:asciiTheme="majorBidi" w:hAnsiTheme="majorBidi" w:cstheme="majorBidi"/>
        </w:rPr>
        <w:t xml:space="preserve">tool </w:t>
      </w:r>
      <w:r w:rsidR="00E36E33">
        <w:rPr>
          <w:rFonts w:asciiTheme="majorBidi" w:hAnsiTheme="majorBidi" w:cstheme="majorBidi"/>
        </w:rPr>
        <w:t>since images give insight into</w:t>
      </w:r>
      <w:r w:rsidR="00EB7058">
        <w:rPr>
          <w:rFonts w:asciiTheme="majorBidi" w:hAnsiTheme="majorBidi" w:cstheme="majorBidi"/>
        </w:rPr>
        <w:t xml:space="preserve"> socially constructed</w:t>
      </w:r>
      <w:r w:rsidR="00E36E33">
        <w:rPr>
          <w:rFonts w:asciiTheme="majorBidi" w:hAnsiTheme="majorBidi" w:cstheme="majorBidi"/>
        </w:rPr>
        <w:t xml:space="preserve"> value systems</w:t>
      </w:r>
      <w:r w:rsidR="00EB7058">
        <w:rPr>
          <w:rFonts w:asciiTheme="majorBidi" w:hAnsiTheme="majorBidi" w:cstheme="majorBidi"/>
        </w:rPr>
        <w:t>.</w:t>
      </w:r>
      <w:r w:rsidR="00EB7058">
        <w:rPr>
          <w:rStyle w:val="FootnoteReference"/>
          <w:rFonts w:asciiTheme="majorBidi" w:hAnsiTheme="majorBidi" w:cstheme="majorBidi"/>
        </w:rPr>
        <w:footnoteReference w:id="52"/>
      </w:r>
      <w:r w:rsidR="00222A03">
        <w:rPr>
          <w:rFonts w:asciiTheme="majorBidi" w:hAnsiTheme="majorBidi" w:cstheme="majorBidi"/>
        </w:rPr>
        <w:t xml:space="preserve"> </w:t>
      </w:r>
      <w:r w:rsidR="00EB7058">
        <w:rPr>
          <w:rFonts w:asciiTheme="majorBidi" w:hAnsiTheme="majorBidi" w:cstheme="majorBidi"/>
        </w:rPr>
        <w:t xml:space="preserve">I split visual analysis into three levels. The first level is semiotic visual analysis which identifies the </w:t>
      </w:r>
      <w:r w:rsidR="00222A03">
        <w:rPr>
          <w:rFonts w:asciiTheme="majorBidi" w:hAnsiTheme="majorBidi" w:cstheme="majorBidi"/>
        </w:rPr>
        <w:t xml:space="preserve">symbolism behind the </w:t>
      </w:r>
      <w:r w:rsidR="00EB7058">
        <w:rPr>
          <w:rFonts w:asciiTheme="majorBidi" w:hAnsiTheme="majorBidi" w:cstheme="majorBidi"/>
        </w:rPr>
        <w:t xml:space="preserve">social context </w:t>
      </w:r>
      <w:r w:rsidR="00222A03">
        <w:rPr>
          <w:rFonts w:asciiTheme="majorBidi" w:hAnsiTheme="majorBidi" w:cstheme="majorBidi"/>
        </w:rPr>
        <w:t>related to</w:t>
      </w:r>
      <w:r w:rsidR="00EB7058">
        <w:rPr>
          <w:rFonts w:asciiTheme="majorBidi" w:hAnsiTheme="majorBidi" w:cstheme="majorBidi"/>
        </w:rPr>
        <w:t xml:space="preserve"> the production of meanings using visuals.</w:t>
      </w:r>
      <w:r w:rsidR="00EB7058">
        <w:rPr>
          <w:rStyle w:val="FootnoteReference"/>
          <w:rFonts w:asciiTheme="majorBidi" w:hAnsiTheme="majorBidi" w:cstheme="majorBidi"/>
        </w:rPr>
        <w:footnoteReference w:id="53"/>
      </w:r>
      <w:r w:rsidR="00222A03">
        <w:rPr>
          <w:rFonts w:asciiTheme="majorBidi" w:hAnsiTheme="majorBidi" w:cstheme="majorBidi"/>
        </w:rPr>
        <w:t xml:space="preserve"> The second level is the symbolic representations of the images themselves. This includes the position of the objects within the photograph, but most importantly, the context the objects are placed in. The context, or lack thereof, gives insight into the value system of a</w:t>
      </w:r>
      <w:r w:rsidR="00CD45B1">
        <w:rPr>
          <w:rFonts w:asciiTheme="majorBidi" w:hAnsiTheme="majorBidi" w:cstheme="majorBidi"/>
        </w:rPr>
        <w:t>n organization.</w:t>
      </w:r>
      <w:r w:rsidR="00CD45B1">
        <w:rPr>
          <w:rStyle w:val="FootnoteReference"/>
          <w:rFonts w:asciiTheme="majorBidi" w:hAnsiTheme="majorBidi" w:cstheme="majorBidi"/>
        </w:rPr>
        <w:footnoteReference w:id="54"/>
      </w:r>
      <w:r w:rsidR="00CD45B1">
        <w:rPr>
          <w:rFonts w:asciiTheme="majorBidi" w:hAnsiTheme="majorBidi" w:cstheme="majorBidi"/>
        </w:rPr>
        <w:t xml:space="preserve"> The t</w:t>
      </w:r>
      <w:r w:rsidR="00EB7058">
        <w:rPr>
          <w:rFonts w:asciiTheme="majorBidi" w:hAnsiTheme="majorBidi" w:cstheme="majorBidi"/>
        </w:rPr>
        <w:t>hird level is interaction with the audience since the use of visuals inherently involves others.</w:t>
      </w:r>
      <w:r w:rsidR="00EB7058">
        <w:rPr>
          <w:rStyle w:val="FootnoteReference"/>
          <w:rFonts w:asciiTheme="majorBidi" w:hAnsiTheme="majorBidi" w:cstheme="majorBidi"/>
        </w:rPr>
        <w:footnoteReference w:id="55"/>
      </w:r>
      <w:r w:rsidR="00CD45B1">
        <w:rPr>
          <w:rFonts w:asciiTheme="majorBidi" w:hAnsiTheme="majorBidi" w:cstheme="majorBidi"/>
        </w:rPr>
        <w:t xml:space="preserve"> This interaction reveals who the entity believes the </w:t>
      </w:r>
      <w:r w:rsidR="00CD45B1">
        <w:rPr>
          <w:rFonts w:asciiTheme="majorBidi" w:hAnsiTheme="majorBidi" w:cstheme="majorBidi"/>
        </w:rPr>
        <w:lastRenderedPageBreak/>
        <w:t>audience is and what values they want to communicate to that audience.</w:t>
      </w:r>
      <w:r w:rsidR="00CD45B1">
        <w:rPr>
          <w:rStyle w:val="FootnoteReference"/>
          <w:rFonts w:asciiTheme="majorBidi" w:hAnsiTheme="majorBidi" w:cstheme="majorBidi"/>
        </w:rPr>
        <w:footnoteReference w:id="56"/>
      </w:r>
      <w:r w:rsidR="007F2D1C">
        <w:rPr>
          <w:rFonts w:asciiTheme="majorBidi" w:hAnsiTheme="majorBidi" w:cstheme="majorBidi"/>
        </w:rPr>
        <w:t xml:space="preserve"> As such, all three levels combine into an understanding of the values system being employed in the construction of meanings within the visual manifestation. </w:t>
      </w:r>
    </w:p>
    <w:p w14:paraId="25F2CC62" w14:textId="52E3CB70" w:rsidR="004F5ECE" w:rsidRPr="00366874" w:rsidRDefault="004F5ECE" w:rsidP="004B6974">
      <w:pPr>
        <w:widowControl w:val="0"/>
        <w:autoSpaceDE w:val="0"/>
        <w:autoSpaceDN w:val="0"/>
        <w:adjustRightInd w:val="0"/>
        <w:spacing w:line="480" w:lineRule="auto"/>
        <w:rPr>
          <w:rFonts w:asciiTheme="majorBidi" w:hAnsiTheme="majorBidi" w:cstheme="majorBidi"/>
        </w:rPr>
      </w:pPr>
      <w:r w:rsidRPr="00366874">
        <w:rPr>
          <w:rFonts w:asciiTheme="majorBidi" w:hAnsiTheme="majorBidi" w:cstheme="majorBidi"/>
        </w:rPr>
        <w:tab/>
        <w:t xml:space="preserve">The final form of analysis is </w:t>
      </w:r>
      <w:r w:rsidR="00C833E0">
        <w:rPr>
          <w:rFonts w:asciiTheme="majorBidi" w:hAnsiTheme="majorBidi" w:cstheme="majorBidi"/>
        </w:rPr>
        <w:t xml:space="preserve">the linguistic identification of </w:t>
      </w:r>
      <w:r w:rsidRPr="00366874">
        <w:rPr>
          <w:rFonts w:asciiTheme="majorBidi" w:hAnsiTheme="majorBidi" w:cstheme="majorBidi"/>
        </w:rPr>
        <w:t>common themes within discourses, including key phrases and words</w:t>
      </w:r>
      <w:r w:rsidR="004B6974">
        <w:rPr>
          <w:rFonts w:asciiTheme="majorBidi" w:hAnsiTheme="majorBidi" w:cstheme="majorBidi"/>
        </w:rPr>
        <w:t xml:space="preserve"> linked to meanings about ownership</w:t>
      </w:r>
      <w:r w:rsidRPr="00366874">
        <w:rPr>
          <w:rFonts w:asciiTheme="majorBidi" w:hAnsiTheme="majorBidi" w:cstheme="majorBidi"/>
        </w:rPr>
        <w:t>.</w:t>
      </w:r>
      <w:r w:rsidR="002F72B8">
        <w:rPr>
          <w:rStyle w:val="FootnoteReference"/>
          <w:rFonts w:asciiTheme="majorBidi" w:hAnsiTheme="majorBidi" w:cstheme="majorBidi"/>
        </w:rPr>
        <w:footnoteReference w:id="57"/>
      </w:r>
      <w:r w:rsidRPr="00366874">
        <w:rPr>
          <w:rFonts w:asciiTheme="majorBidi" w:hAnsiTheme="majorBidi" w:cstheme="majorBidi"/>
        </w:rPr>
        <w:t xml:space="preserve"> For example, key </w:t>
      </w:r>
      <w:r w:rsidR="004E0149">
        <w:rPr>
          <w:rFonts w:asciiTheme="majorBidi" w:hAnsiTheme="majorBidi" w:cstheme="majorBidi"/>
        </w:rPr>
        <w:t>words such as “stolen</w:t>
      </w:r>
      <w:r w:rsidRPr="00366874">
        <w:rPr>
          <w:rFonts w:asciiTheme="majorBidi" w:hAnsiTheme="majorBidi" w:cstheme="majorBidi"/>
        </w:rPr>
        <w:t>”</w:t>
      </w:r>
      <w:r w:rsidR="004E0149">
        <w:rPr>
          <w:rFonts w:asciiTheme="majorBidi" w:hAnsiTheme="majorBidi" w:cstheme="majorBidi"/>
        </w:rPr>
        <w:t xml:space="preserve"> and “re</w:t>
      </w:r>
      <w:r w:rsidR="00FE2344">
        <w:rPr>
          <w:rFonts w:asciiTheme="majorBidi" w:hAnsiTheme="majorBidi" w:cstheme="majorBidi"/>
        </w:rPr>
        <w:t>turned” identify shared understanding that an artifact has an illicit provenance record, which is the first step to restitution.</w:t>
      </w:r>
      <w:r w:rsidRPr="00366874">
        <w:rPr>
          <w:rStyle w:val="FootnoteReference"/>
          <w:rFonts w:asciiTheme="majorBidi" w:hAnsiTheme="majorBidi" w:cstheme="majorBidi"/>
        </w:rPr>
        <w:footnoteReference w:id="58"/>
      </w:r>
      <w:r w:rsidRPr="00366874">
        <w:rPr>
          <w:rFonts w:asciiTheme="majorBidi" w:hAnsiTheme="majorBidi" w:cstheme="majorBidi"/>
        </w:rPr>
        <w:t xml:space="preserve"> </w:t>
      </w:r>
      <w:r w:rsidR="00FE2344">
        <w:rPr>
          <w:rFonts w:asciiTheme="majorBidi" w:hAnsiTheme="majorBidi" w:cstheme="majorBidi"/>
        </w:rPr>
        <w:t>In contrast, words like “found” or “discovered” bypass legal obligations of ownership and instead allow the archaeologist or smuggler to take ownership.</w:t>
      </w:r>
      <w:r w:rsidRPr="00366874">
        <w:rPr>
          <w:rStyle w:val="FootnoteReference"/>
          <w:rFonts w:asciiTheme="majorBidi" w:hAnsiTheme="majorBidi" w:cstheme="majorBidi"/>
        </w:rPr>
        <w:footnoteReference w:id="59"/>
      </w:r>
      <w:r w:rsidRPr="00366874">
        <w:rPr>
          <w:rFonts w:asciiTheme="majorBidi" w:hAnsiTheme="majorBidi" w:cstheme="majorBidi"/>
        </w:rPr>
        <w:t xml:space="preserve"> </w:t>
      </w:r>
      <w:r w:rsidR="004B6974">
        <w:rPr>
          <w:rFonts w:asciiTheme="majorBidi" w:hAnsiTheme="majorBidi" w:cstheme="majorBidi"/>
        </w:rPr>
        <w:t>Specifically on Twitter, these examples often manifest themselves as “hashtags” which are linguistic links attached to specific words. Furthermore, key terms on Twitter can also include “handles” which are direct links to other Twitter users, identified by an “@” at the beginning of a name.</w:t>
      </w:r>
    </w:p>
    <w:p w14:paraId="6E979268" w14:textId="2AE1A2EB" w:rsidR="004F5ECE" w:rsidRPr="00B46F49" w:rsidRDefault="004F5ECE" w:rsidP="009001E7">
      <w:pPr>
        <w:spacing w:line="480" w:lineRule="auto"/>
        <w:rPr>
          <w:rFonts w:ascii="Times New Roman" w:hAnsi="Times New Roman" w:cs="Times New Roman"/>
        </w:rPr>
      </w:pPr>
      <w:r w:rsidRPr="00366874">
        <w:rPr>
          <w:rFonts w:ascii="Times New Roman" w:hAnsi="Times New Roman" w:cs="Times New Roman"/>
        </w:rPr>
        <w:tab/>
        <w:t xml:space="preserve">After analyzing the individual discourses, the next level of analysis </w:t>
      </w:r>
      <w:r w:rsidR="00C96425">
        <w:rPr>
          <w:rFonts w:ascii="Times New Roman" w:hAnsi="Times New Roman" w:cs="Times New Roman"/>
        </w:rPr>
        <w:t>is</w:t>
      </w:r>
      <w:r w:rsidRPr="00366874">
        <w:rPr>
          <w:rFonts w:ascii="Times New Roman" w:hAnsi="Times New Roman" w:cs="Times New Roman"/>
        </w:rPr>
        <w:t xml:space="preserve"> the intertextuality of the discourses.</w:t>
      </w:r>
      <w:r w:rsidRPr="00366874">
        <w:rPr>
          <w:rStyle w:val="FootnoteReference"/>
          <w:rFonts w:ascii="Times New Roman" w:hAnsi="Times New Roman" w:cs="Times New Roman"/>
        </w:rPr>
        <w:footnoteReference w:id="60"/>
      </w:r>
      <w:r w:rsidRPr="00366874">
        <w:rPr>
          <w:rFonts w:ascii="Times New Roman" w:hAnsi="Times New Roman" w:cs="Times New Roman"/>
        </w:rPr>
        <w:t xml:space="preserve"> </w:t>
      </w:r>
      <w:r w:rsidR="00FE2344">
        <w:rPr>
          <w:rFonts w:ascii="Times New Roman" w:hAnsi="Times New Roman" w:cs="Times New Roman"/>
        </w:rPr>
        <w:t>The primary forum for</w:t>
      </w:r>
      <w:r w:rsidR="00B46F49">
        <w:rPr>
          <w:rFonts w:ascii="Times New Roman" w:hAnsi="Times New Roman" w:cs="Times New Roman"/>
        </w:rPr>
        <w:t xml:space="preserve"> such</w:t>
      </w:r>
      <w:r w:rsidR="00FE2344">
        <w:rPr>
          <w:rFonts w:ascii="Times New Roman" w:hAnsi="Times New Roman" w:cs="Times New Roman"/>
        </w:rPr>
        <w:t xml:space="preserve"> shared understandings about ownership was Twitter because museums and task</w:t>
      </w:r>
      <w:r w:rsidR="00853041">
        <w:rPr>
          <w:rFonts w:ascii="Times New Roman" w:hAnsi="Times New Roman" w:cs="Times New Roman"/>
        </w:rPr>
        <w:t xml:space="preserve">forces could directly interact. </w:t>
      </w:r>
      <w:r w:rsidR="009001E7">
        <w:rPr>
          <w:rFonts w:ascii="Times New Roman" w:hAnsi="Times New Roman" w:cs="Times New Roman"/>
        </w:rPr>
        <w:t>Consequently</w:t>
      </w:r>
      <w:r w:rsidR="00853041">
        <w:rPr>
          <w:rFonts w:ascii="Times New Roman" w:hAnsi="Times New Roman" w:cs="Times New Roman"/>
        </w:rPr>
        <w:t>,</w:t>
      </w:r>
      <w:r w:rsidR="00B46F49">
        <w:rPr>
          <w:rFonts w:ascii="Times New Roman" w:hAnsi="Times New Roman" w:cs="Times New Roman"/>
        </w:rPr>
        <w:t xml:space="preserve"> the use of identical hashtags as well as a user</w:t>
      </w:r>
      <w:r w:rsidR="00853041">
        <w:rPr>
          <w:rFonts w:ascii="Times New Roman" w:hAnsi="Times New Roman" w:cs="Times New Roman"/>
        </w:rPr>
        <w:t>’s ability to “tag” another user’s “handle”</w:t>
      </w:r>
      <w:r w:rsidR="009001E7">
        <w:rPr>
          <w:rFonts w:ascii="Times New Roman" w:hAnsi="Times New Roman" w:cs="Times New Roman"/>
        </w:rPr>
        <w:t xml:space="preserve"> indicated a mutual meaning-</w:t>
      </w:r>
      <w:r w:rsidR="00B46F49">
        <w:rPr>
          <w:rFonts w:ascii="Times New Roman" w:hAnsi="Times New Roman" w:cs="Times New Roman"/>
        </w:rPr>
        <w:t xml:space="preserve">making process. </w:t>
      </w:r>
      <w:r w:rsidR="00A00AB7">
        <w:rPr>
          <w:rFonts w:ascii="Times New Roman" w:hAnsi="Times New Roman" w:cs="Times New Roman"/>
        </w:rPr>
        <w:t xml:space="preserve">Furthermore, “retweeting” certain posts by other users also indicate adoptive understandings of content. </w:t>
      </w:r>
      <w:r w:rsidR="00B46F49">
        <w:rPr>
          <w:rFonts w:ascii="Times New Roman" w:hAnsi="Times New Roman" w:cs="Times New Roman"/>
        </w:rPr>
        <w:t xml:space="preserve">Apart from Twitter, shared press conferences </w:t>
      </w:r>
      <w:r w:rsidR="00A00AB7">
        <w:rPr>
          <w:rFonts w:ascii="Times New Roman" w:hAnsi="Times New Roman" w:cs="Times New Roman"/>
        </w:rPr>
        <w:t xml:space="preserve">were also an </w:t>
      </w:r>
      <w:r w:rsidR="00A00AB7">
        <w:rPr>
          <w:rFonts w:ascii="Times New Roman" w:hAnsi="Times New Roman" w:cs="Times New Roman"/>
        </w:rPr>
        <w:lastRenderedPageBreak/>
        <w:t>important part of addressing intertextuality, specifically the shared language and symbols represented by both Italy and the United States.</w:t>
      </w:r>
    </w:p>
    <w:p w14:paraId="47D89292" w14:textId="0A410C77" w:rsidR="004F5ECE" w:rsidRPr="00366874" w:rsidRDefault="004F5ECE" w:rsidP="006C3F59">
      <w:pPr>
        <w:widowControl w:val="0"/>
        <w:autoSpaceDE w:val="0"/>
        <w:autoSpaceDN w:val="0"/>
        <w:adjustRightInd w:val="0"/>
        <w:spacing w:line="480" w:lineRule="auto"/>
        <w:rPr>
          <w:rFonts w:asciiTheme="majorBidi" w:hAnsiTheme="majorBidi" w:cstheme="majorBidi"/>
        </w:rPr>
      </w:pPr>
      <w:r>
        <w:rPr>
          <w:rFonts w:asciiTheme="majorBidi" w:hAnsiTheme="majorBidi" w:cstheme="majorBidi"/>
        </w:rPr>
        <w:tab/>
        <w:t>Due to the nature of my project and its reliance on Twitter, it is important to address a few</w:t>
      </w:r>
      <w:r w:rsidR="00C96425">
        <w:rPr>
          <w:rFonts w:asciiTheme="majorBidi" w:hAnsiTheme="majorBidi" w:cstheme="majorBidi"/>
        </w:rPr>
        <w:t xml:space="preserve"> of its</w:t>
      </w:r>
      <w:r>
        <w:rPr>
          <w:rFonts w:asciiTheme="majorBidi" w:hAnsiTheme="majorBidi" w:cstheme="majorBidi"/>
        </w:rPr>
        <w:t xml:space="preserve"> limitations. First, </w:t>
      </w:r>
      <w:r w:rsidRPr="00366874">
        <w:rPr>
          <w:rFonts w:asciiTheme="majorBidi" w:hAnsiTheme="majorBidi" w:cstheme="majorBidi"/>
        </w:rPr>
        <w:t>the concept of cultural competence</w:t>
      </w:r>
      <w:r w:rsidR="00C96425">
        <w:rPr>
          <w:rFonts w:asciiTheme="majorBidi" w:hAnsiTheme="majorBidi" w:cstheme="majorBidi"/>
        </w:rPr>
        <w:t xml:space="preserve"> is necessary for my transparency as a researcher</w:t>
      </w:r>
      <w:r w:rsidRPr="00366874">
        <w:rPr>
          <w:rFonts w:asciiTheme="majorBidi" w:hAnsiTheme="majorBidi" w:cstheme="majorBidi"/>
        </w:rPr>
        <w:t>.</w:t>
      </w:r>
      <w:r w:rsidRPr="00366874">
        <w:rPr>
          <w:rStyle w:val="FootnoteReference"/>
          <w:rFonts w:asciiTheme="majorBidi" w:hAnsiTheme="majorBidi" w:cstheme="majorBidi"/>
        </w:rPr>
        <w:footnoteReference w:id="61"/>
      </w:r>
      <w:r w:rsidRPr="00366874">
        <w:rPr>
          <w:rFonts w:asciiTheme="majorBidi" w:hAnsiTheme="majorBidi" w:cstheme="majorBidi"/>
        </w:rPr>
        <w:t xml:space="preserve"> I needed to rely on Bing’s translating algorithm for Tweets in Italian since I am not fluent in Italian</w:t>
      </w:r>
      <w:r w:rsidR="006C3F59">
        <w:rPr>
          <w:rFonts w:asciiTheme="majorBidi" w:hAnsiTheme="majorBidi" w:cstheme="majorBidi"/>
        </w:rPr>
        <w:t xml:space="preserve"> (the use of which is noted in the citations of translated Tweets)</w:t>
      </w:r>
      <w:r w:rsidRPr="00366874">
        <w:rPr>
          <w:rFonts w:asciiTheme="majorBidi" w:hAnsiTheme="majorBidi" w:cstheme="majorBidi"/>
        </w:rPr>
        <w:t xml:space="preserve">. </w:t>
      </w:r>
      <w:r>
        <w:rPr>
          <w:rFonts w:asciiTheme="majorBidi" w:hAnsiTheme="majorBidi" w:cstheme="majorBidi"/>
        </w:rPr>
        <w:t xml:space="preserve">While there are known </w:t>
      </w:r>
      <w:r w:rsidRPr="00366874">
        <w:rPr>
          <w:rFonts w:asciiTheme="majorBidi" w:hAnsiTheme="majorBidi" w:cstheme="majorBidi"/>
        </w:rPr>
        <w:t>setbacks</w:t>
      </w:r>
      <w:r>
        <w:rPr>
          <w:rFonts w:asciiTheme="majorBidi" w:hAnsiTheme="majorBidi" w:cstheme="majorBidi"/>
        </w:rPr>
        <w:t xml:space="preserve"> to</w:t>
      </w:r>
      <w:r w:rsidRPr="00366874">
        <w:rPr>
          <w:rFonts w:asciiTheme="majorBidi" w:hAnsiTheme="majorBidi" w:cstheme="majorBidi"/>
        </w:rPr>
        <w:t xml:space="preserve"> algorithms since they often miss crucial language nuances</w:t>
      </w:r>
      <w:r>
        <w:rPr>
          <w:rFonts w:asciiTheme="majorBidi" w:hAnsiTheme="majorBidi" w:cstheme="majorBidi"/>
        </w:rPr>
        <w:t>, I did not conduct micro-level analysis of translated texts</w:t>
      </w:r>
      <w:r w:rsidR="00C96425">
        <w:rPr>
          <w:rFonts w:asciiTheme="majorBidi" w:hAnsiTheme="majorBidi" w:cstheme="majorBidi"/>
        </w:rPr>
        <w:t xml:space="preserve"> such as analysis of word cho</w:t>
      </w:r>
      <w:r w:rsidR="009001E7">
        <w:rPr>
          <w:rFonts w:asciiTheme="majorBidi" w:hAnsiTheme="majorBidi" w:cstheme="majorBidi"/>
        </w:rPr>
        <w:t xml:space="preserve">ice or verb tense. Therefore, </w:t>
      </w:r>
      <w:r w:rsidR="00C96425">
        <w:rPr>
          <w:rFonts w:asciiTheme="majorBidi" w:hAnsiTheme="majorBidi" w:cstheme="majorBidi"/>
        </w:rPr>
        <w:t xml:space="preserve">my analysis has a lower level of risk </w:t>
      </w:r>
      <w:r>
        <w:rPr>
          <w:rFonts w:asciiTheme="majorBidi" w:hAnsiTheme="majorBidi" w:cstheme="majorBidi"/>
        </w:rPr>
        <w:t>misinterpretation</w:t>
      </w:r>
      <w:r w:rsidRPr="00366874">
        <w:rPr>
          <w:rFonts w:asciiTheme="majorBidi" w:hAnsiTheme="majorBidi" w:cstheme="majorBidi"/>
        </w:rPr>
        <w:t>.</w:t>
      </w:r>
      <w:r w:rsidRPr="00366874">
        <w:rPr>
          <w:rStyle w:val="FootnoteReference"/>
          <w:rFonts w:asciiTheme="majorBidi" w:hAnsiTheme="majorBidi" w:cstheme="majorBidi"/>
        </w:rPr>
        <w:footnoteReference w:id="62"/>
      </w:r>
      <w:r w:rsidRPr="00366874">
        <w:rPr>
          <w:rFonts w:asciiTheme="majorBidi" w:hAnsiTheme="majorBidi" w:cstheme="majorBidi"/>
        </w:rPr>
        <w:t xml:space="preserve"> Another facet </w:t>
      </w:r>
      <w:r>
        <w:rPr>
          <w:rFonts w:asciiTheme="majorBidi" w:hAnsiTheme="majorBidi" w:cstheme="majorBidi"/>
        </w:rPr>
        <w:t xml:space="preserve">of cultural competence </w:t>
      </w:r>
      <w:r w:rsidRPr="00366874">
        <w:rPr>
          <w:rFonts w:asciiTheme="majorBidi" w:hAnsiTheme="majorBidi" w:cstheme="majorBidi"/>
        </w:rPr>
        <w:t>is the fact that I work at the Seattle Art Museum which gives me familiarity of cultural nuances within museums, specifically concerning provenance</w:t>
      </w:r>
      <w:r>
        <w:rPr>
          <w:rFonts w:asciiTheme="majorBidi" w:hAnsiTheme="majorBidi" w:cstheme="majorBidi"/>
        </w:rPr>
        <w:t xml:space="preserve"> research for ancient artifacts and the way museums visually present artifacts.</w:t>
      </w:r>
    </w:p>
    <w:p w14:paraId="5BC0B87E" w14:textId="7DC00013" w:rsidR="00240633" w:rsidRDefault="00C96425" w:rsidP="00B42BCB">
      <w:pPr>
        <w:spacing w:line="480" w:lineRule="auto"/>
        <w:ind w:firstLine="720"/>
        <w:rPr>
          <w:rFonts w:asciiTheme="majorBidi" w:hAnsiTheme="majorBidi" w:cstheme="majorBidi"/>
        </w:rPr>
      </w:pPr>
      <w:r>
        <w:rPr>
          <w:rFonts w:asciiTheme="majorBidi" w:hAnsiTheme="majorBidi" w:cstheme="majorBidi"/>
        </w:rPr>
        <w:t xml:space="preserve">Since the fundamental assumption of interpretivist research is that a researcher cannot separate from the research context, I must also address </w:t>
      </w:r>
      <w:r w:rsidR="004F5ECE" w:rsidRPr="00366874">
        <w:rPr>
          <w:rFonts w:asciiTheme="majorBidi" w:hAnsiTheme="majorBidi" w:cstheme="majorBidi"/>
        </w:rPr>
        <w:t>reflexivity and trustworthiness.</w:t>
      </w:r>
      <w:r w:rsidR="004F5ECE" w:rsidRPr="00366874">
        <w:rPr>
          <w:rStyle w:val="FootnoteReference"/>
          <w:rFonts w:asciiTheme="majorBidi" w:hAnsiTheme="majorBidi" w:cstheme="majorBidi"/>
        </w:rPr>
        <w:footnoteReference w:id="63"/>
      </w:r>
      <w:r w:rsidR="004F5ECE" w:rsidRPr="00366874">
        <w:rPr>
          <w:rFonts w:asciiTheme="majorBidi" w:hAnsiTheme="majorBidi" w:cstheme="majorBidi"/>
        </w:rPr>
        <w:t xml:space="preserve"> </w:t>
      </w:r>
      <w:r w:rsidR="009E3CBD">
        <w:rPr>
          <w:rFonts w:asciiTheme="majorBidi" w:hAnsiTheme="majorBidi" w:cstheme="majorBidi"/>
        </w:rPr>
        <w:t>Reflexivity is defined as “the systematic consideration of a researcher’s characteristics.”</w:t>
      </w:r>
      <w:r w:rsidR="009E3CBD" w:rsidRPr="001C376E">
        <w:rPr>
          <w:rStyle w:val="FootnoteReference"/>
          <w:rFonts w:asciiTheme="majorBidi" w:hAnsiTheme="majorBidi" w:cstheme="majorBidi"/>
        </w:rPr>
        <w:footnoteReference w:id="64"/>
      </w:r>
      <w:r w:rsidR="009E3CBD" w:rsidRPr="001C376E">
        <w:rPr>
          <w:rFonts w:asciiTheme="majorBidi" w:hAnsiTheme="majorBidi" w:cstheme="majorBidi"/>
        </w:rPr>
        <w:t xml:space="preserve"> </w:t>
      </w:r>
      <w:r w:rsidR="00302DC3">
        <w:rPr>
          <w:rFonts w:asciiTheme="majorBidi" w:hAnsiTheme="majorBidi" w:cstheme="majorBidi"/>
        </w:rPr>
        <w:t>While characteristics often include identity, race, gender, and culture, the relevant characteristic regarding this research is my culture. I am a United States citizen which could impact the wa</w:t>
      </w:r>
      <w:r w:rsidR="00B42BCB">
        <w:rPr>
          <w:rFonts w:asciiTheme="majorBidi" w:hAnsiTheme="majorBidi" w:cstheme="majorBidi"/>
        </w:rPr>
        <w:t xml:space="preserve">y I view the United States; as a domestic citizen, I tend to be </w:t>
      </w:r>
      <w:r w:rsidR="00302DC3">
        <w:rPr>
          <w:rFonts w:asciiTheme="majorBidi" w:hAnsiTheme="majorBidi" w:cstheme="majorBidi"/>
        </w:rPr>
        <w:t xml:space="preserve">critical of </w:t>
      </w:r>
      <w:r w:rsidR="00B42BCB">
        <w:rPr>
          <w:rFonts w:asciiTheme="majorBidi" w:hAnsiTheme="majorBidi" w:cstheme="majorBidi"/>
        </w:rPr>
        <w:t xml:space="preserve">the </w:t>
      </w:r>
      <w:r w:rsidR="00302DC3">
        <w:rPr>
          <w:rFonts w:asciiTheme="majorBidi" w:hAnsiTheme="majorBidi" w:cstheme="majorBidi"/>
        </w:rPr>
        <w:t>U.S.</w:t>
      </w:r>
      <w:r w:rsidR="00B42BCB">
        <w:rPr>
          <w:rFonts w:asciiTheme="majorBidi" w:hAnsiTheme="majorBidi" w:cstheme="majorBidi"/>
        </w:rPr>
        <w:t xml:space="preserve"> role in the world</w:t>
      </w:r>
      <w:r w:rsidR="00302DC3">
        <w:rPr>
          <w:rFonts w:asciiTheme="majorBidi" w:hAnsiTheme="majorBidi" w:cstheme="majorBidi"/>
        </w:rPr>
        <w:t xml:space="preserve">. </w:t>
      </w:r>
      <w:r w:rsidR="00302DC3">
        <w:rPr>
          <w:rFonts w:asciiTheme="majorBidi" w:hAnsiTheme="majorBidi" w:cstheme="majorBidi"/>
        </w:rPr>
        <w:lastRenderedPageBreak/>
        <w:t xml:space="preserve">Furthermore, it is important to note that </w:t>
      </w:r>
      <w:r w:rsidR="009E3CBD">
        <w:rPr>
          <w:rFonts w:asciiTheme="majorBidi" w:hAnsiTheme="majorBidi" w:cstheme="majorBidi"/>
        </w:rPr>
        <w:t>I am also a</w:t>
      </w:r>
      <w:r w:rsidR="00A9194A">
        <w:rPr>
          <w:rFonts w:asciiTheme="majorBidi" w:hAnsiTheme="majorBidi" w:cstheme="majorBidi"/>
        </w:rPr>
        <w:t xml:space="preserve"> past employee of </w:t>
      </w:r>
      <w:r w:rsidR="00B42BCB">
        <w:rPr>
          <w:rFonts w:asciiTheme="majorBidi" w:hAnsiTheme="majorBidi" w:cstheme="majorBidi"/>
        </w:rPr>
        <w:t>the Seattle Art Museum</w:t>
      </w:r>
      <w:r w:rsidR="00A9194A">
        <w:rPr>
          <w:rFonts w:asciiTheme="majorBidi" w:hAnsiTheme="majorBidi" w:cstheme="majorBidi"/>
        </w:rPr>
        <w:t xml:space="preserve">. My experience with </w:t>
      </w:r>
      <w:r w:rsidR="00B42BCB">
        <w:rPr>
          <w:rFonts w:asciiTheme="majorBidi" w:hAnsiTheme="majorBidi" w:cstheme="majorBidi"/>
        </w:rPr>
        <w:t>this museum</w:t>
      </w:r>
      <w:r w:rsidR="00A9194A">
        <w:rPr>
          <w:rFonts w:asciiTheme="majorBidi" w:hAnsiTheme="majorBidi" w:cstheme="majorBidi"/>
        </w:rPr>
        <w:t xml:space="preserve"> </w:t>
      </w:r>
      <w:r w:rsidR="00BE7BB7">
        <w:rPr>
          <w:rFonts w:asciiTheme="majorBidi" w:hAnsiTheme="majorBidi" w:cstheme="majorBidi"/>
        </w:rPr>
        <w:t>shapes</w:t>
      </w:r>
      <w:r w:rsidR="00A9194A">
        <w:rPr>
          <w:rFonts w:asciiTheme="majorBidi" w:hAnsiTheme="majorBidi" w:cstheme="majorBidi"/>
        </w:rPr>
        <w:t xml:space="preserve"> the way I note provenance since, as an employee of a U.S. museum, I was taught to understand provenance in a U.S. manner which could inhibit my ability to comprehend Italy’s understanding of provenance.</w:t>
      </w:r>
      <w:r w:rsidR="00240633">
        <w:rPr>
          <w:rFonts w:asciiTheme="majorBidi" w:hAnsiTheme="majorBidi" w:cstheme="majorBidi"/>
        </w:rPr>
        <w:t xml:space="preserve"> </w:t>
      </w:r>
      <w:r w:rsidR="00B42BCB">
        <w:rPr>
          <w:rFonts w:asciiTheme="majorBidi" w:hAnsiTheme="majorBidi" w:cstheme="majorBidi"/>
        </w:rPr>
        <w:t xml:space="preserve">Also, because the Seattle Art Museum is one of my sources, I may include context beyond the text itself since I am familiar with the museum’s process of recording provenance. </w:t>
      </w:r>
    </w:p>
    <w:p w14:paraId="5A7BCF5E" w14:textId="24B3C507" w:rsidR="004F5ECE" w:rsidRDefault="004F5ECE" w:rsidP="00240633">
      <w:pPr>
        <w:spacing w:line="480" w:lineRule="auto"/>
        <w:ind w:firstLine="720"/>
        <w:rPr>
          <w:rFonts w:asciiTheme="majorBidi" w:hAnsiTheme="majorBidi" w:cstheme="majorBidi"/>
        </w:rPr>
      </w:pPr>
      <w:r>
        <w:rPr>
          <w:rFonts w:asciiTheme="majorBidi" w:hAnsiTheme="majorBidi" w:cstheme="majorBidi"/>
        </w:rPr>
        <w:t>For trustworthiness, I took</w:t>
      </w:r>
      <w:r w:rsidRPr="00366874">
        <w:rPr>
          <w:rFonts w:asciiTheme="majorBidi" w:hAnsiTheme="majorBidi" w:cstheme="majorBidi"/>
        </w:rPr>
        <w:t xml:space="preserve"> concrete steps to</w:t>
      </w:r>
      <w:r>
        <w:rPr>
          <w:rFonts w:asciiTheme="majorBidi" w:hAnsiTheme="majorBidi" w:cstheme="majorBidi"/>
        </w:rPr>
        <w:t xml:space="preserve"> ensure that my methods were </w:t>
      </w:r>
      <w:r w:rsidR="00240633">
        <w:rPr>
          <w:rFonts w:asciiTheme="majorBidi" w:hAnsiTheme="majorBidi" w:cstheme="majorBidi"/>
        </w:rPr>
        <w:t>transparent</w:t>
      </w:r>
      <w:r>
        <w:rPr>
          <w:rFonts w:asciiTheme="majorBidi" w:hAnsiTheme="majorBidi" w:cstheme="majorBidi"/>
        </w:rPr>
        <w:t xml:space="preserve"> and that the data analyzed was reputable and accurate in capturing the social practices between the two actors</w:t>
      </w:r>
      <w:r w:rsidRPr="00366874">
        <w:rPr>
          <w:rFonts w:asciiTheme="majorBidi" w:hAnsiTheme="majorBidi" w:cstheme="majorBidi"/>
        </w:rPr>
        <w:t>.</w:t>
      </w:r>
      <w:r w:rsidRPr="00366874">
        <w:rPr>
          <w:rStyle w:val="FootnoteReference"/>
          <w:rFonts w:asciiTheme="majorBidi" w:hAnsiTheme="majorBidi" w:cstheme="majorBidi"/>
        </w:rPr>
        <w:footnoteReference w:id="65"/>
      </w:r>
      <w:r w:rsidRPr="00366874">
        <w:rPr>
          <w:rFonts w:asciiTheme="majorBidi" w:hAnsiTheme="majorBidi" w:cstheme="majorBidi"/>
        </w:rPr>
        <w:t xml:space="preserve"> </w:t>
      </w:r>
      <w:r w:rsidR="009E3CBD">
        <w:rPr>
          <w:rFonts w:asciiTheme="majorBidi" w:hAnsiTheme="majorBidi" w:cstheme="majorBidi"/>
        </w:rPr>
        <w:t>For example, I used a wide range of museum webpages</w:t>
      </w:r>
      <w:r w:rsidR="00240633">
        <w:rPr>
          <w:rFonts w:asciiTheme="majorBidi" w:hAnsiTheme="majorBidi" w:cstheme="majorBidi"/>
        </w:rPr>
        <w:t xml:space="preserve"> to maximize the data’s ability to be representative. I carried this method into the taskforce discourses as well, resulting in a transparent and trustworthy sample of texts. </w:t>
      </w:r>
    </w:p>
    <w:p w14:paraId="095BF90A" w14:textId="77777777" w:rsidR="00CE420E" w:rsidRDefault="00CE420E" w:rsidP="00BE7BB7">
      <w:pPr>
        <w:spacing w:line="480" w:lineRule="auto"/>
        <w:rPr>
          <w:rFonts w:asciiTheme="majorBidi" w:eastAsia="Times New Roman" w:hAnsiTheme="majorBidi" w:cstheme="majorBidi"/>
        </w:rPr>
      </w:pPr>
    </w:p>
    <w:p w14:paraId="7C37FC16" w14:textId="64F0511B" w:rsidR="002261FA" w:rsidRPr="00E15BCE" w:rsidRDefault="00E15BCE" w:rsidP="00457EDA">
      <w:pPr>
        <w:spacing w:line="480" w:lineRule="auto"/>
        <w:rPr>
          <w:rFonts w:asciiTheme="majorBidi" w:eastAsia="Times New Roman" w:hAnsiTheme="majorBidi" w:cstheme="majorBidi"/>
          <w:b/>
          <w:bCs/>
        </w:rPr>
      </w:pPr>
      <w:r w:rsidRPr="00E15BCE">
        <w:rPr>
          <w:rFonts w:asciiTheme="majorBidi" w:eastAsia="Times New Roman" w:hAnsiTheme="majorBidi" w:cstheme="majorBidi"/>
          <w:b/>
          <w:bCs/>
        </w:rPr>
        <w:t>Analysis</w:t>
      </w:r>
    </w:p>
    <w:p w14:paraId="72646F6B" w14:textId="00FF9A40" w:rsidR="00457EDA" w:rsidRDefault="00457EDA" w:rsidP="00B42BCB">
      <w:pPr>
        <w:spacing w:line="480" w:lineRule="auto"/>
        <w:ind w:firstLine="720"/>
        <w:rPr>
          <w:rFonts w:asciiTheme="majorBidi" w:hAnsiTheme="majorBidi" w:cstheme="majorBidi"/>
        </w:rPr>
      </w:pPr>
      <w:r>
        <w:rPr>
          <w:rFonts w:asciiTheme="majorBidi" w:hAnsiTheme="majorBidi" w:cstheme="majorBidi"/>
        </w:rPr>
        <w:t>The foregoing</w:t>
      </w:r>
      <w:r w:rsidR="00B46F49">
        <w:rPr>
          <w:rFonts w:asciiTheme="majorBidi" w:hAnsiTheme="majorBidi" w:cstheme="majorBidi"/>
        </w:rPr>
        <w:t xml:space="preserve"> methods provided vital insight </w:t>
      </w:r>
      <w:r w:rsidR="00B42BCB">
        <w:rPr>
          <w:rFonts w:asciiTheme="majorBidi" w:hAnsiTheme="majorBidi" w:cstheme="majorBidi"/>
        </w:rPr>
        <w:t xml:space="preserve">into </w:t>
      </w:r>
      <w:r w:rsidR="00B46F49">
        <w:rPr>
          <w:rFonts w:asciiTheme="majorBidi" w:hAnsiTheme="majorBidi" w:cstheme="majorBidi"/>
        </w:rPr>
        <w:t xml:space="preserve">the way museums and taskforces understand ownership. </w:t>
      </w:r>
      <w:r w:rsidR="00B42BCB">
        <w:rPr>
          <w:rFonts w:asciiTheme="majorBidi" w:hAnsiTheme="majorBidi" w:cstheme="majorBidi"/>
        </w:rPr>
        <w:t>My a</w:t>
      </w:r>
      <w:r w:rsidR="00CE420E">
        <w:rPr>
          <w:rFonts w:asciiTheme="majorBidi" w:hAnsiTheme="majorBidi" w:cstheme="majorBidi"/>
        </w:rPr>
        <w:t xml:space="preserve">nalysis </w:t>
      </w:r>
      <w:r w:rsidR="00B42BCB">
        <w:rPr>
          <w:rFonts w:asciiTheme="majorBidi" w:hAnsiTheme="majorBidi" w:cstheme="majorBidi"/>
        </w:rPr>
        <w:t>supports</w:t>
      </w:r>
      <w:r w:rsidR="00CE420E">
        <w:rPr>
          <w:rFonts w:asciiTheme="majorBidi" w:hAnsiTheme="majorBidi" w:cstheme="majorBidi"/>
        </w:rPr>
        <w:t xml:space="preserve"> multiple conclusions concerning understandings about temporal indicators, provenance information, and use of visual context. </w:t>
      </w:r>
      <w:r w:rsidR="00B42BCB">
        <w:rPr>
          <w:rFonts w:asciiTheme="majorBidi" w:hAnsiTheme="majorBidi" w:cstheme="majorBidi"/>
        </w:rPr>
        <w:t>However, d</w:t>
      </w:r>
      <w:r w:rsidR="00CE420E">
        <w:rPr>
          <w:rFonts w:asciiTheme="majorBidi" w:hAnsiTheme="majorBidi" w:cstheme="majorBidi"/>
        </w:rPr>
        <w:t xml:space="preserve">ue to the extent of these findings, </w:t>
      </w:r>
      <w:r w:rsidR="00B42BCB">
        <w:rPr>
          <w:rFonts w:asciiTheme="majorBidi" w:hAnsiTheme="majorBidi" w:cstheme="majorBidi"/>
        </w:rPr>
        <w:t xml:space="preserve">I will discuss </w:t>
      </w:r>
      <w:r w:rsidR="00CE420E">
        <w:rPr>
          <w:rFonts w:asciiTheme="majorBidi" w:hAnsiTheme="majorBidi" w:cstheme="majorBidi"/>
        </w:rPr>
        <w:t>three of the most important conclusions: the extent of provenance information on museum websites, the use of visual context by museums, and the shared understanding about ownership and cooperation of the international taskforces</w:t>
      </w:r>
      <w:r w:rsidR="00B42BCB">
        <w:rPr>
          <w:rFonts w:asciiTheme="majorBidi" w:hAnsiTheme="majorBidi" w:cstheme="majorBidi"/>
        </w:rPr>
        <w:t xml:space="preserve">. </w:t>
      </w:r>
      <w:r w:rsidR="00195465">
        <w:rPr>
          <w:rFonts w:asciiTheme="majorBidi" w:hAnsiTheme="majorBidi" w:cstheme="majorBidi"/>
        </w:rPr>
        <w:t>I explore</w:t>
      </w:r>
      <w:r w:rsidR="00195465" w:rsidRPr="001C376E">
        <w:rPr>
          <w:rFonts w:asciiTheme="majorBidi" w:hAnsiTheme="majorBidi" w:cstheme="majorBidi"/>
        </w:rPr>
        <w:t xml:space="preserve"> discourses by U.S. and </w:t>
      </w:r>
      <w:r w:rsidR="00195465">
        <w:rPr>
          <w:rFonts w:asciiTheme="majorBidi" w:hAnsiTheme="majorBidi" w:cstheme="majorBidi"/>
        </w:rPr>
        <w:t>Italian restitution taskforces</w:t>
      </w:r>
      <w:r w:rsidR="00B42BCB">
        <w:rPr>
          <w:rFonts w:asciiTheme="majorBidi" w:hAnsiTheme="majorBidi" w:cstheme="majorBidi"/>
        </w:rPr>
        <w:t xml:space="preserve"> and then turn to considering</w:t>
      </w:r>
      <w:r w:rsidR="00195465">
        <w:rPr>
          <w:rFonts w:asciiTheme="majorBidi" w:hAnsiTheme="majorBidi" w:cstheme="majorBidi"/>
        </w:rPr>
        <w:t xml:space="preserve"> </w:t>
      </w:r>
      <w:r w:rsidR="006A4BA9">
        <w:rPr>
          <w:rFonts w:asciiTheme="majorBidi" w:hAnsiTheme="majorBidi" w:cstheme="majorBidi"/>
        </w:rPr>
        <w:t>the</w:t>
      </w:r>
      <w:r w:rsidR="006A4BA9" w:rsidRPr="001C376E">
        <w:rPr>
          <w:rFonts w:asciiTheme="majorBidi" w:hAnsiTheme="majorBidi" w:cstheme="majorBidi"/>
        </w:rPr>
        <w:t xml:space="preserve"> find</w:t>
      </w:r>
      <w:r w:rsidR="006A4BA9">
        <w:rPr>
          <w:rFonts w:asciiTheme="majorBidi" w:hAnsiTheme="majorBidi" w:cstheme="majorBidi"/>
        </w:rPr>
        <w:t>ing</w:t>
      </w:r>
      <w:r w:rsidR="006A4BA9" w:rsidRPr="001C376E">
        <w:rPr>
          <w:rFonts w:asciiTheme="majorBidi" w:hAnsiTheme="majorBidi" w:cstheme="majorBidi"/>
        </w:rPr>
        <w:t>s related to museum discourses.</w:t>
      </w:r>
      <w:r w:rsidR="006A4BA9">
        <w:rPr>
          <w:rFonts w:asciiTheme="majorBidi" w:hAnsiTheme="majorBidi" w:cstheme="majorBidi"/>
        </w:rPr>
        <w:t xml:space="preserve"> </w:t>
      </w:r>
    </w:p>
    <w:p w14:paraId="37FCA630" w14:textId="590BDDB1" w:rsidR="00DB2E19" w:rsidRDefault="003B7C35" w:rsidP="003B7C35">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lastRenderedPageBreak/>
        <w:t xml:space="preserve">First, </w:t>
      </w:r>
      <w:r w:rsidRPr="001C376E">
        <w:rPr>
          <w:rFonts w:asciiTheme="majorBidi" w:eastAsia="Times New Roman" w:hAnsiTheme="majorBidi" w:cstheme="majorBidi"/>
          <w:shd w:val="clear" w:color="auto" w:fill="FFFFFF"/>
        </w:rPr>
        <w:t>discourse</w:t>
      </w:r>
      <w:r>
        <w:rPr>
          <w:rFonts w:asciiTheme="majorBidi" w:eastAsia="Times New Roman" w:hAnsiTheme="majorBidi" w:cstheme="majorBidi"/>
          <w:shd w:val="clear" w:color="auto" w:fill="FFFFFF"/>
        </w:rPr>
        <w:t xml:space="preserve">s </w:t>
      </w:r>
      <w:r w:rsidRPr="001C376E">
        <w:rPr>
          <w:rFonts w:asciiTheme="majorBidi" w:eastAsia="Times New Roman" w:hAnsiTheme="majorBidi" w:cstheme="majorBidi"/>
          <w:shd w:val="clear" w:color="auto" w:fill="FFFFFF"/>
        </w:rPr>
        <w:t>of U.S. and Italian artifact restitution taskforce</w:t>
      </w:r>
      <w:r>
        <w:rPr>
          <w:rFonts w:asciiTheme="majorBidi" w:eastAsia="Times New Roman" w:hAnsiTheme="majorBidi" w:cstheme="majorBidi"/>
          <w:shd w:val="clear" w:color="auto" w:fill="FFFFFF"/>
        </w:rPr>
        <w:t>s identified a high level of shared understanding of illicit provenance, resulting in a shared call for international cooperation.</w:t>
      </w:r>
      <w:r>
        <w:rPr>
          <w:rStyle w:val="FootnoteReference"/>
          <w:rFonts w:asciiTheme="majorBidi" w:eastAsia="Times New Roman" w:hAnsiTheme="majorBidi" w:cstheme="majorBidi"/>
          <w:shd w:val="clear" w:color="auto" w:fill="FFFFFF"/>
        </w:rPr>
        <w:footnoteReference w:id="66"/>
      </w:r>
      <w:r>
        <w:rPr>
          <w:rFonts w:asciiTheme="majorBidi" w:eastAsia="Times New Roman" w:hAnsiTheme="majorBidi" w:cstheme="majorBidi"/>
          <w:shd w:val="clear" w:color="auto" w:fill="FFFFFF"/>
        </w:rPr>
        <w:t xml:space="preserve"> Both </w:t>
      </w:r>
      <w:r w:rsidRPr="001C376E">
        <w:rPr>
          <w:rFonts w:asciiTheme="majorBidi" w:eastAsia="Times New Roman" w:hAnsiTheme="majorBidi" w:cstheme="majorBidi"/>
          <w:shd w:val="clear" w:color="auto" w:fill="FFFFFF"/>
        </w:rPr>
        <w:t xml:space="preserve">discourses indicated a shared meaning making about the intersection between illicit provenance and ownership. </w:t>
      </w:r>
      <w:r w:rsidR="00DB2E19">
        <w:rPr>
          <w:rFonts w:asciiTheme="majorBidi" w:eastAsia="Times New Roman" w:hAnsiTheme="majorBidi" w:cstheme="majorBidi"/>
          <w:shd w:val="clear" w:color="auto" w:fill="FFFFFF"/>
        </w:rPr>
        <w:t>Take the following example</w:t>
      </w:r>
      <w:r w:rsidR="00885174">
        <w:rPr>
          <w:rFonts w:asciiTheme="majorBidi" w:eastAsia="Times New Roman" w:hAnsiTheme="majorBidi" w:cstheme="majorBidi"/>
          <w:shd w:val="clear" w:color="auto" w:fill="FFFFFF"/>
        </w:rPr>
        <w:t>s</w:t>
      </w:r>
      <w:r w:rsidR="00DB2E19">
        <w:rPr>
          <w:rFonts w:asciiTheme="majorBidi" w:eastAsia="Times New Roman" w:hAnsiTheme="majorBidi" w:cstheme="majorBidi"/>
          <w:shd w:val="clear" w:color="auto" w:fill="FFFFFF"/>
        </w:rPr>
        <w:t>:</w:t>
      </w:r>
    </w:p>
    <w:p w14:paraId="6F8769D4" w14:textId="519CAB28" w:rsidR="0068120C" w:rsidRDefault="00DB2E19" w:rsidP="006F6DEF">
      <w:pPr>
        <w:pStyle w:val="NormalWeb"/>
        <w:spacing w:before="0" w:beforeAutospacing="0" w:after="0" w:afterAutospacing="0"/>
        <w:ind w:left="720" w:firstLine="720"/>
        <w:rPr>
          <w:rFonts w:asciiTheme="majorBidi" w:hAnsiTheme="majorBidi" w:cstheme="majorBidi"/>
        </w:rPr>
      </w:pPr>
      <w:r w:rsidRPr="007E6949">
        <w:rPr>
          <w:rFonts w:asciiTheme="majorBidi" w:hAnsiTheme="majorBidi" w:cstheme="majorBidi"/>
        </w:rPr>
        <w:t>Heritage at State</w:t>
      </w:r>
      <w:r w:rsidRPr="007E6949">
        <w:rPr>
          <w:rFonts w:asciiTheme="majorBidi" w:hAnsiTheme="majorBidi" w:cstheme="majorBidi" w:hint="cs"/>
          <w:rtl/>
        </w:rPr>
        <w:t>‏</w:t>
      </w:r>
      <w:r w:rsidRPr="007E6949">
        <w:rPr>
          <w:rFonts w:asciiTheme="majorBidi" w:hAnsiTheme="majorBidi" w:cstheme="majorBidi"/>
        </w:rPr>
        <w:t xml:space="preserve"> (@HeritageAtState)</w:t>
      </w:r>
      <w:r w:rsidR="00885174">
        <w:rPr>
          <w:rFonts w:asciiTheme="majorBidi" w:hAnsiTheme="majorBidi" w:cstheme="majorBidi"/>
        </w:rPr>
        <w:t>:</w:t>
      </w:r>
    </w:p>
    <w:p w14:paraId="242392E1" w14:textId="77777777" w:rsidR="00DD568A" w:rsidRPr="006F6DEF" w:rsidRDefault="00DD568A" w:rsidP="006F6DEF">
      <w:pPr>
        <w:pStyle w:val="NormalWeb"/>
        <w:spacing w:before="0" w:beforeAutospacing="0" w:after="0" w:afterAutospacing="0"/>
        <w:ind w:left="720" w:firstLine="720"/>
        <w:rPr>
          <w:rFonts w:asciiTheme="majorBidi" w:hAnsiTheme="majorBidi" w:cstheme="majorBidi"/>
        </w:rPr>
      </w:pPr>
    </w:p>
    <w:p w14:paraId="5C730605" w14:textId="6DC54430" w:rsidR="0068120C" w:rsidRDefault="00DB2E19" w:rsidP="00B42BCB">
      <w:pPr>
        <w:pStyle w:val="NormalWeb"/>
        <w:spacing w:before="0" w:beforeAutospacing="0" w:after="0" w:afterAutospacing="0"/>
        <w:ind w:left="2160"/>
        <w:rPr>
          <w:rFonts w:asciiTheme="majorBidi" w:hAnsiTheme="majorBidi" w:cstheme="majorBidi"/>
        </w:rPr>
      </w:pPr>
      <w:r w:rsidRPr="007E6949">
        <w:rPr>
          <w:rFonts w:asciiTheme="majorBidi" w:hAnsiTheme="majorBidi" w:cstheme="majorBidi"/>
          <w:color w:val="292F33"/>
        </w:rPr>
        <w:t xml:space="preserve">“In case you missed it </w:t>
      </w:r>
      <w:r w:rsidRPr="007E6949">
        <w:rPr>
          <w:rFonts w:asciiTheme="majorBidi" w:hAnsiTheme="majorBidi" w:cstheme="majorBidi"/>
        </w:rPr>
        <w:t>@FBI</w:t>
      </w:r>
      <w:r w:rsidRPr="007E6949">
        <w:rPr>
          <w:rFonts w:asciiTheme="majorBidi" w:hAnsiTheme="majorBidi" w:cstheme="majorBidi"/>
          <w:color w:val="292F33"/>
        </w:rPr>
        <w:t xml:space="preserve"> returned stolen Roman statue to </w:t>
      </w:r>
      <w:r w:rsidRPr="007E6949">
        <w:rPr>
          <w:rFonts w:asciiTheme="majorBidi" w:hAnsiTheme="majorBidi" w:cstheme="majorBidi"/>
        </w:rPr>
        <w:t>@MiBACT @_Carabinieri_”</w:t>
      </w:r>
      <w:r w:rsidRPr="007E6949">
        <w:rPr>
          <w:rStyle w:val="FootnoteReference"/>
          <w:rFonts w:asciiTheme="majorBidi" w:hAnsiTheme="majorBidi" w:cstheme="majorBidi"/>
        </w:rPr>
        <w:footnoteReference w:id="67"/>
      </w:r>
    </w:p>
    <w:p w14:paraId="4D85F3DE" w14:textId="77777777" w:rsidR="00885174" w:rsidRDefault="00885174" w:rsidP="007E6949">
      <w:pPr>
        <w:pStyle w:val="NormalWeb"/>
        <w:spacing w:before="0" w:beforeAutospacing="0" w:after="0" w:afterAutospacing="0"/>
        <w:ind w:left="1440"/>
        <w:rPr>
          <w:rFonts w:asciiTheme="majorBidi" w:hAnsiTheme="majorBidi" w:cstheme="majorBidi"/>
        </w:rPr>
      </w:pPr>
    </w:p>
    <w:p w14:paraId="1770304D" w14:textId="6B36395E" w:rsidR="006F6DEF" w:rsidRDefault="00960D5B" w:rsidP="006F6DEF">
      <w:pPr>
        <w:pStyle w:val="NormalWeb"/>
        <w:spacing w:before="0" w:beforeAutospacing="0" w:after="0" w:afterAutospacing="0"/>
        <w:ind w:left="1440"/>
        <w:rPr>
          <w:rFonts w:asciiTheme="majorBidi" w:hAnsiTheme="majorBidi" w:cstheme="majorBidi"/>
        </w:rPr>
      </w:pPr>
      <w:r>
        <w:rPr>
          <w:rFonts w:asciiTheme="majorBidi" w:hAnsiTheme="majorBidi" w:cstheme="majorBidi"/>
        </w:rPr>
        <w:t>Remarks at FBI press conference by commander of the Carabinieri:</w:t>
      </w:r>
    </w:p>
    <w:p w14:paraId="550312B8" w14:textId="77777777" w:rsidR="00960D5B" w:rsidRDefault="00960D5B" w:rsidP="006F6DEF">
      <w:pPr>
        <w:pStyle w:val="NormalWeb"/>
        <w:spacing w:before="0" w:beforeAutospacing="0" w:after="0" w:afterAutospacing="0"/>
        <w:ind w:left="1440"/>
        <w:rPr>
          <w:rFonts w:asciiTheme="majorBidi" w:hAnsiTheme="majorBidi" w:cstheme="majorBidi"/>
        </w:rPr>
      </w:pPr>
    </w:p>
    <w:p w14:paraId="6C26B702" w14:textId="7D15ED11" w:rsidR="00960D5B" w:rsidRDefault="00960D5B" w:rsidP="00B42BCB">
      <w:pPr>
        <w:pStyle w:val="NormalWeb"/>
        <w:spacing w:before="0" w:beforeAutospacing="0" w:after="0" w:afterAutospacing="0"/>
        <w:ind w:left="2160"/>
        <w:rPr>
          <w:rFonts w:asciiTheme="majorBidi" w:hAnsiTheme="majorBidi" w:cstheme="majorBidi"/>
        </w:rPr>
      </w:pPr>
      <w:r>
        <w:rPr>
          <w:rFonts w:asciiTheme="majorBidi" w:hAnsiTheme="majorBidi" w:cstheme="majorBidi"/>
        </w:rPr>
        <w:t xml:space="preserve">“We are very happy when something that belongs to the </w:t>
      </w:r>
      <w:r w:rsidR="003B3F27">
        <w:rPr>
          <w:rFonts w:asciiTheme="majorBidi" w:hAnsiTheme="majorBidi" w:cstheme="majorBidi"/>
        </w:rPr>
        <w:t>Italian</w:t>
      </w:r>
      <w:r>
        <w:rPr>
          <w:rFonts w:asciiTheme="majorBidi" w:hAnsiTheme="majorBidi" w:cstheme="majorBidi"/>
        </w:rPr>
        <w:t xml:space="preserve"> patrimony can be brought back to our country, but it is not a matter of Italy. It’s a matter of every country. When there is something that is stolen from a country, to come back to their own country, I think it’s very important, because this is a symbol of the community, a symbol of the nation.”</w:t>
      </w:r>
      <w:r>
        <w:rPr>
          <w:rStyle w:val="FootnoteReference"/>
          <w:rFonts w:asciiTheme="majorBidi" w:hAnsiTheme="majorBidi" w:cstheme="majorBidi"/>
        </w:rPr>
        <w:footnoteReference w:id="68"/>
      </w:r>
    </w:p>
    <w:p w14:paraId="06660CDA" w14:textId="77777777" w:rsidR="00960D5B" w:rsidRPr="006F6DEF" w:rsidRDefault="00960D5B" w:rsidP="006F6DEF">
      <w:pPr>
        <w:pStyle w:val="NormalWeb"/>
        <w:spacing w:before="0" w:beforeAutospacing="0" w:after="0" w:afterAutospacing="0"/>
        <w:ind w:left="1440"/>
        <w:rPr>
          <w:rFonts w:asciiTheme="majorBidi" w:hAnsiTheme="majorBidi" w:cstheme="majorBidi"/>
        </w:rPr>
      </w:pPr>
    </w:p>
    <w:p w14:paraId="3C2B129A" w14:textId="69E85334" w:rsidR="003B7C35" w:rsidRPr="00F9017F" w:rsidRDefault="00DB2E19" w:rsidP="00F9017F">
      <w:pPr>
        <w:pStyle w:val="NormalWeb"/>
        <w:spacing w:before="0" w:beforeAutospacing="0" w:after="0" w:afterAutospacing="0" w:line="480" w:lineRule="auto"/>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 xml:space="preserve">In </w:t>
      </w:r>
      <w:r w:rsidR="00960D5B">
        <w:rPr>
          <w:rFonts w:asciiTheme="majorBidi" w:eastAsia="Times New Roman" w:hAnsiTheme="majorBidi" w:cstheme="majorBidi"/>
          <w:shd w:val="clear" w:color="auto" w:fill="FFFFFF"/>
        </w:rPr>
        <w:t>the first</w:t>
      </w:r>
      <w:r>
        <w:rPr>
          <w:rFonts w:asciiTheme="majorBidi" w:eastAsia="Times New Roman" w:hAnsiTheme="majorBidi" w:cstheme="majorBidi"/>
          <w:shd w:val="clear" w:color="auto" w:fill="FFFFFF"/>
        </w:rPr>
        <w:t xml:space="preserve"> Tweet, </w:t>
      </w:r>
      <w:r w:rsidR="00B229F5">
        <w:rPr>
          <w:rFonts w:asciiTheme="majorBidi" w:eastAsia="Times New Roman" w:hAnsiTheme="majorBidi" w:cstheme="majorBidi"/>
          <w:shd w:val="clear" w:color="auto" w:fill="FFFFFF"/>
        </w:rPr>
        <w:t>the U.S. State Department uses the word “stolen” which clearly communicates an understanding of illicit provenance. The Tweet also creates a temporal link by drawing the nexus between ancient Rome and contemporary Italy, identified by the tag of “@MiBACT” which is the Italian ministry of Culture and Tourism.</w:t>
      </w:r>
      <w:r w:rsidR="00634E7C">
        <w:rPr>
          <w:rFonts w:asciiTheme="majorBidi" w:eastAsia="Times New Roman" w:hAnsiTheme="majorBidi" w:cstheme="majorBidi"/>
          <w:shd w:val="clear" w:color="auto" w:fill="FFFFFF"/>
        </w:rPr>
        <w:t xml:space="preserve"> Furthermore, the inclusion of both the FBI and Carabinieri is a prime example of intertextuality, or shared meaning making.</w:t>
      </w:r>
      <w:r w:rsidR="00634E7C">
        <w:rPr>
          <w:rStyle w:val="FootnoteReference"/>
          <w:rFonts w:asciiTheme="majorBidi" w:eastAsia="Times New Roman" w:hAnsiTheme="majorBidi" w:cstheme="majorBidi"/>
          <w:shd w:val="clear" w:color="auto" w:fill="FFFFFF"/>
        </w:rPr>
        <w:footnoteReference w:id="69"/>
      </w:r>
      <w:r w:rsidR="00FA689C">
        <w:rPr>
          <w:rFonts w:asciiTheme="majorBidi" w:eastAsia="Times New Roman" w:hAnsiTheme="majorBidi" w:cstheme="majorBidi"/>
          <w:shd w:val="clear" w:color="auto" w:fill="FFFFFF"/>
        </w:rPr>
        <w:t xml:space="preserve"> </w:t>
      </w:r>
      <w:r w:rsidR="000B4F8A">
        <w:rPr>
          <w:rFonts w:asciiTheme="majorBidi" w:eastAsia="Times New Roman" w:hAnsiTheme="majorBidi" w:cstheme="majorBidi"/>
          <w:shd w:val="clear" w:color="auto" w:fill="FFFFFF"/>
        </w:rPr>
        <w:t>This shared meaning making about illicit ownership is further illustrated by</w:t>
      </w:r>
      <w:r w:rsidR="00960D5B">
        <w:rPr>
          <w:rFonts w:asciiTheme="majorBidi" w:eastAsia="Times New Roman" w:hAnsiTheme="majorBidi" w:cstheme="majorBidi"/>
          <w:shd w:val="clear" w:color="auto" w:fill="FFFFFF"/>
        </w:rPr>
        <w:t xml:space="preserve"> the remarks by General Fabrizio Parrulli, the commander of the Carabinieri, who reaffirms illicit provenance and the symbolic </w:t>
      </w:r>
      <w:r w:rsidR="00960D5B">
        <w:rPr>
          <w:rFonts w:asciiTheme="majorBidi" w:eastAsia="Times New Roman" w:hAnsiTheme="majorBidi" w:cstheme="majorBidi"/>
          <w:shd w:val="clear" w:color="auto" w:fill="FFFFFF"/>
        </w:rPr>
        <w:lastRenderedPageBreak/>
        <w:t xml:space="preserve">value of the FBI’s repatriation ceremony. </w:t>
      </w:r>
      <w:r w:rsidR="00F9017F">
        <w:rPr>
          <w:rFonts w:asciiTheme="majorBidi" w:eastAsia="Times New Roman" w:hAnsiTheme="majorBidi" w:cstheme="majorBidi"/>
          <w:shd w:val="clear" w:color="auto" w:fill="FFFFFF"/>
        </w:rPr>
        <w:t>This interactive meaning making sparked</w:t>
      </w:r>
      <w:r w:rsidR="000B4F8A">
        <w:rPr>
          <w:rFonts w:asciiTheme="majorBidi" w:eastAsia="Times New Roman" w:hAnsiTheme="majorBidi" w:cstheme="majorBidi"/>
          <w:shd w:val="clear" w:color="auto" w:fill="FFFFFF"/>
        </w:rPr>
        <w:t xml:space="preserve"> several “retweets” by the Carabinieri, the FBI, as well as Italian print media which all </w:t>
      </w:r>
      <w:r w:rsidR="003B7C35" w:rsidRPr="001C376E">
        <w:rPr>
          <w:rFonts w:asciiTheme="majorBidi" w:eastAsia="Times New Roman" w:hAnsiTheme="majorBidi" w:cstheme="majorBidi"/>
          <w:shd w:val="clear" w:color="auto" w:fill="FFFFFF"/>
        </w:rPr>
        <w:t>repeatedly used words (and hashtags)</w:t>
      </w:r>
      <w:r w:rsidR="003B7C35">
        <w:rPr>
          <w:rFonts w:asciiTheme="majorBidi" w:eastAsia="Times New Roman" w:hAnsiTheme="majorBidi" w:cstheme="majorBidi"/>
          <w:shd w:val="clear" w:color="auto" w:fill="FFFFFF"/>
        </w:rPr>
        <w:t xml:space="preserve"> such as “stolen,” </w:t>
      </w:r>
      <w:r w:rsidR="003B7C35" w:rsidRPr="001C376E">
        <w:rPr>
          <w:rFonts w:asciiTheme="majorBidi" w:eastAsia="Times New Roman" w:hAnsiTheme="majorBidi" w:cstheme="majorBidi"/>
          <w:shd w:val="clear" w:color="auto" w:fill="FFFFFF"/>
        </w:rPr>
        <w:t>phrases like “repatriated</w:t>
      </w:r>
      <w:r w:rsidR="003B7C35">
        <w:rPr>
          <w:rFonts w:asciiTheme="majorBidi" w:eastAsia="Times New Roman" w:hAnsiTheme="majorBidi" w:cstheme="majorBidi"/>
          <w:shd w:val="clear" w:color="auto" w:fill="FFFFFF"/>
        </w:rPr>
        <w:t xml:space="preserve"> to Italy,</w:t>
      </w:r>
      <w:r w:rsidR="003B7C35" w:rsidRPr="001C376E">
        <w:rPr>
          <w:rFonts w:asciiTheme="majorBidi" w:eastAsia="Times New Roman" w:hAnsiTheme="majorBidi" w:cstheme="majorBidi"/>
          <w:shd w:val="clear" w:color="auto" w:fill="FFFFFF"/>
        </w:rPr>
        <w:t>”</w:t>
      </w:r>
      <w:r w:rsidR="003B7C35">
        <w:rPr>
          <w:rFonts w:asciiTheme="majorBidi" w:eastAsia="Times New Roman" w:hAnsiTheme="majorBidi" w:cstheme="majorBidi"/>
          <w:shd w:val="clear" w:color="auto" w:fill="FFFFFF"/>
        </w:rPr>
        <w:t xml:space="preserve"> as well as identical visual contextualization</w:t>
      </w:r>
      <w:r w:rsidR="000B4F8A">
        <w:rPr>
          <w:rFonts w:asciiTheme="majorBidi" w:eastAsia="Times New Roman" w:hAnsiTheme="majorBidi" w:cstheme="majorBidi"/>
          <w:shd w:val="clear" w:color="auto" w:fill="FFFFFF"/>
        </w:rPr>
        <w:t xml:space="preserve"> (the sources used the same picture of the repatriated statue)</w:t>
      </w:r>
      <w:r w:rsidR="003B7C35">
        <w:rPr>
          <w:rFonts w:asciiTheme="majorBidi" w:eastAsia="Times New Roman" w:hAnsiTheme="majorBidi" w:cstheme="majorBidi"/>
          <w:shd w:val="clear" w:color="auto" w:fill="FFFFFF"/>
        </w:rPr>
        <w:t>.</w:t>
      </w:r>
      <w:r w:rsidR="003B7C35">
        <w:rPr>
          <w:rStyle w:val="FootnoteReference"/>
          <w:rFonts w:asciiTheme="majorBidi" w:eastAsia="Times New Roman" w:hAnsiTheme="majorBidi" w:cstheme="majorBidi"/>
          <w:shd w:val="clear" w:color="auto" w:fill="FFFFFF"/>
        </w:rPr>
        <w:footnoteReference w:id="70"/>
      </w:r>
      <w:r w:rsidR="003B7C35" w:rsidRPr="001C376E">
        <w:rPr>
          <w:rFonts w:asciiTheme="majorBidi" w:eastAsia="Times New Roman" w:hAnsiTheme="majorBidi" w:cstheme="majorBidi"/>
          <w:shd w:val="clear" w:color="auto" w:fill="FFFFFF"/>
        </w:rPr>
        <w:t xml:space="preserve"> </w:t>
      </w:r>
      <w:r w:rsidR="00F9017F">
        <w:rPr>
          <w:rFonts w:asciiTheme="majorBidi" w:eastAsia="Times New Roman" w:hAnsiTheme="majorBidi" w:cstheme="majorBidi"/>
          <w:shd w:val="clear" w:color="auto" w:fill="FFFFFF"/>
        </w:rPr>
        <w:t>As such, using the Peplophoros restitution as one example, U.S. and Italian taskforces understand ownership similarly by acknowledging illicit provenance.</w:t>
      </w:r>
    </w:p>
    <w:p w14:paraId="26050E8E" w14:textId="1CB71A85" w:rsidR="002261FA" w:rsidRDefault="003B7C35" w:rsidP="007905D8">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This shared understanding results in meaningful action</w:t>
      </w:r>
      <w:r w:rsidR="007905D8">
        <w:rPr>
          <w:rFonts w:asciiTheme="majorBidi" w:eastAsia="Times New Roman" w:hAnsiTheme="majorBidi" w:cstheme="majorBidi"/>
          <w:shd w:val="clear" w:color="auto" w:fill="FFFFFF"/>
        </w:rPr>
        <w:t>,</w:t>
      </w:r>
      <w:r>
        <w:rPr>
          <w:rFonts w:asciiTheme="majorBidi" w:eastAsia="Times New Roman" w:hAnsiTheme="majorBidi" w:cstheme="majorBidi"/>
          <w:shd w:val="clear" w:color="auto" w:fill="FFFFFF"/>
        </w:rPr>
        <w:t xml:space="preserve"> as both </w:t>
      </w:r>
      <w:r w:rsidRPr="001C376E">
        <w:rPr>
          <w:rFonts w:asciiTheme="majorBidi" w:eastAsia="Times New Roman" w:hAnsiTheme="majorBidi" w:cstheme="majorBidi"/>
          <w:shd w:val="clear" w:color="auto" w:fill="FFFFFF"/>
        </w:rPr>
        <w:t xml:space="preserve">U.S. and Italian taskforces engage each other </w:t>
      </w:r>
      <w:r>
        <w:rPr>
          <w:rFonts w:asciiTheme="majorBidi" w:eastAsia="Times New Roman" w:hAnsiTheme="majorBidi" w:cstheme="majorBidi"/>
          <w:shd w:val="clear" w:color="auto" w:fill="FFFFFF"/>
        </w:rPr>
        <w:t xml:space="preserve">in </w:t>
      </w:r>
      <w:r w:rsidRPr="001C376E">
        <w:rPr>
          <w:rFonts w:asciiTheme="majorBidi" w:eastAsia="Times New Roman" w:hAnsiTheme="majorBidi" w:cstheme="majorBidi"/>
          <w:shd w:val="clear" w:color="auto" w:fill="FFFFFF"/>
        </w:rPr>
        <w:t>calling</w:t>
      </w:r>
      <w:r w:rsidR="0081158B">
        <w:rPr>
          <w:rFonts w:asciiTheme="majorBidi" w:eastAsia="Times New Roman" w:hAnsiTheme="majorBidi" w:cstheme="majorBidi"/>
          <w:shd w:val="clear" w:color="auto" w:fill="FFFFFF"/>
        </w:rPr>
        <w:t xml:space="preserve"> for international cooperation. </w:t>
      </w:r>
      <w:r w:rsidRPr="001C376E">
        <w:rPr>
          <w:rFonts w:asciiTheme="majorBidi" w:eastAsia="Times New Roman" w:hAnsiTheme="majorBidi" w:cstheme="majorBidi"/>
          <w:shd w:val="clear" w:color="auto" w:fill="FFFFFF"/>
        </w:rPr>
        <w:t>They share press conferences</w:t>
      </w:r>
      <w:r w:rsidR="0081158B">
        <w:rPr>
          <w:rFonts w:asciiTheme="majorBidi" w:eastAsia="Times New Roman" w:hAnsiTheme="majorBidi" w:cstheme="majorBidi"/>
          <w:shd w:val="clear" w:color="auto" w:fill="FFFFFF"/>
        </w:rPr>
        <w:t xml:space="preserve"> about restitution cases, coining the term “repatriation ceremonies.”</w:t>
      </w:r>
      <w:r w:rsidR="0081158B">
        <w:rPr>
          <w:rStyle w:val="FootnoteReference"/>
          <w:rFonts w:asciiTheme="majorBidi" w:eastAsia="Times New Roman" w:hAnsiTheme="majorBidi" w:cstheme="majorBidi"/>
          <w:shd w:val="clear" w:color="auto" w:fill="FFFFFF"/>
        </w:rPr>
        <w:footnoteReference w:id="71"/>
      </w:r>
      <w:r w:rsidR="0081158B">
        <w:rPr>
          <w:rFonts w:asciiTheme="majorBidi" w:eastAsia="Times New Roman" w:hAnsiTheme="majorBidi" w:cstheme="majorBidi"/>
          <w:shd w:val="clear" w:color="auto" w:fill="FFFFFF"/>
        </w:rPr>
        <w:t xml:space="preserve"> Furthermore, in Tweets such as the highlighted example above, the two sets of taskforces consistently tag each other’s respective Twitter “handles</w:t>
      </w:r>
      <w:r w:rsidRPr="001C376E">
        <w:rPr>
          <w:rFonts w:asciiTheme="majorBidi" w:eastAsia="Times New Roman" w:hAnsiTheme="majorBidi" w:cstheme="majorBidi"/>
          <w:shd w:val="clear" w:color="auto" w:fill="FFFFFF"/>
        </w:rPr>
        <w:t>”</w:t>
      </w:r>
      <w:r w:rsidR="0081158B">
        <w:rPr>
          <w:rFonts w:asciiTheme="majorBidi" w:eastAsia="Times New Roman" w:hAnsiTheme="majorBidi" w:cstheme="majorBidi"/>
          <w:shd w:val="clear" w:color="auto" w:fill="FFFFFF"/>
        </w:rPr>
        <w:t xml:space="preserve"> which signifies a level of cooperation and transparency between the two.</w:t>
      </w:r>
      <w:r w:rsidR="00AD56EF">
        <w:rPr>
          <w:rFonts w:asciiTheme="majorBidi" w:eastAsia="Times New Roman" w:hAnsiTheme="majorBidi" w:cstheme="majorBidi"/>
          <w:shd w:val="clear" w:color="auto" w:fill="FFFFFF"/>
        </w:rPr>
        <w:t xml:space="preserve"> In each example, t</w:t>
      </w:r>
      <w:r w:rsidRPr="001C376E">
        <w:rPr>
          <w:rFonts w:asciiTheme="majorBidi" w:eastAsia="Times New Roman" w:hAnsiTheme="majorBidi" w:cstheme="majorBidi"/>
          <w:shd w:val="clear" w:color="auto" w:fill="FFFFFF"/>
        </w:rPr>
        <w:t>he nexus for this cooperation is the United States Embassy in Italy.</w:t>
      </w:r>
      <w:r>
        <w:rPr>
          <w:rStyle w:val="FootnoteReference"/>
          <w:rFonts w:asciiTheme="majorBidi" w:eastAsia="Times New Roman" w:hAnsiTheme="majorBidi" w:cstheme="majorBidi"/>
          <w:shd w:val="clear" w:color="auto" w:fill="FFFFFF"/>
        </w:rPr>
        <w:footnoteReference w:id="72"/>
      </w:r>
      <w:r w:rsidRPr="001C376E">
        <w:rPr>
          <w:rFonts w:asciiTheme="majorBidi" w:eastAsia="Times New Roman" w:hAnsiTheme="majorBidi" w:cstheme="majorBidi"/>
          <w:shd w:val="clear" w:color="auto" w:fill="FFFFFF"/>
        </w:rPr>
        <w:t xml:space="preserve"> Notably absent fr</w:t>
      </w:r>
      <w:r w:rsidR="00AD56EF">
        <w:rPr>
          <w:rFonts w:asciiTheme="majorBidi" w:eastAsia="Times New Roman" w:hAnsiTheme="majorBidi" w:cstheme="majorBidi"/>
          <w:shd w:val="clear" w:color="auto" w:fill="FFFFFF"/>
        </w:rPr>
        <w:t>om this cooperation are museums;</w:t>
      </w:r>
      <w:r w:rsidRPr="001C376E">
        <w:rPr>
          <w:rFonts w:asciiTheme="majorBidi" w:eastAsia="Times New Roman" w:hAnsiTheme="majorBidi" w:cstheme="majorBidi"/>
          <w:shd w:val="clear" w:color="auto" w:fill="FFFFFF"/>
        </w:rPr>
        <w:t xml:space="preserve"> Italian and U.S. museums </w:t>
      </w:r>
      <w:r>
        <w:rPr>
          <w:rFonts w:asciiTheme="majorBidi" w:eastAsia="Times New Roman" w:hAnsiTheme="majorBidi" w:cstheme="majorBidi"/>
          <w:shd w:val="clear" w:color="auto" w:fill="FFFFFF"/>
        </w:rPr>
        <w:t xml:space="preserve">are not tagged, referenced, or engaged. </w:t>
      </w:r>
    </w:p>
    <w:p w14:paraId="1A1977ED" w14:textId="77777777" w:rsidR="001407EC" w:rsidRDefault="001407EC" w:rsidP="001407EC">
      <w:pPr>
        <w:ind w:firstLine="720"/>
        <w:rPr>
          <w:rFonts w:asciiTheme="majorBidi" w:eastAsia="Times New Roman" w:hAnsiTheme="majorBidi" w:cstheme="majorBidi"/>
          <w:shd w:val="clear" w:color="auto" w:fill="FFFFFF"/>
        </w:rPr>
      </w:pPr>
    </w:p>
    <w:p w14:paraId="5B756580" w14:textId="2B0C2093" w:rsidR="003B7C35" w:rsidRDefault="002261FA" w:rsidP="00100B78">
      <w:pPr>
        <w:spacing w:line="480" w:lineRule="auto"/>
        <w:jc w:val="center"/>
        <w:rPr>
          <w:rFonts w:asciiTheme="majorBidi" w:eastAsia="Times New Roman" w:hAnsiTheme="majorBidi" w:cstheme="majorBidi"/>
          <w:shd w:val="clear" w:color="auto" w:fill="FFFFFF"/>
        </w:rPr>
      </w:pPr>
      <w:r>
        <w:rPr>
          <w:rFonts w:asciiTheme="majorBidi" w:eastAsia="Times New Roman" w:hAnsiTheme="majorBidi" w:cstheme="majorBidi"/>
          <w:noProof/>
        </w:rPr>
        <w:lastRenderedPageBreak/>
        <w:drawing>
          <wp:inline distT="0" distB="0" distL="0" distR="0" wp14:anchorId="027A981A" wp14:editId="24D5EE76">
            <wp:extent cx="4623435" cy="2502549"/>
            <wp:effectExtent l="0" t="0" r="24765"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43D65E" w14:textId="5E45B35B" w:rsidR="002261FA" w:rsidRDefault="002261FA" w:rsidP="00100B78">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 xml:space="preserve">Second, </w:t>
      </w:r>
      <w:r w:rsidR="005F52E5">
        <w:rPr>
          <w:rFonts w:asciiTheme="majorBidi" w:eastAsia="Times New Roman" w:hAnsiTheme="majorBidi" w:cstheme="majorBidi"/>
          <w:shd w:val="clear" w:color="auto" w:fill="FFFFFF"/>
        </w:rPr>
        <w:t xml:space="preserve">there is no shared </w:t>
      </w:r>
      <w:r>
        <w:rPr>
          <w:rFonts w:asciiTheme="majorBidi" w:eastAsia="Times New Roman" w:hAnsiTheme="majorBidi" w:cstheme="majorBidi"/>
          <w:shd w:val="clear" w:color="auto" w:fill="FFFFFF"/>
        </w:rPr>
        <w:t xml:space="preserve">understanding </w:t>
      </w:r>
      <w:r w:rsidR="005F52E5">
        <w:rPr>
          <w:rFonts w:asciiTheme="majorBidi" w:eastAsia="Times New Roman" w:hAnsiTheme="majorBidi" w:cstheme="majorBidi"/>
          <w:shd w:val="clear" w:color="auto" w:fill="FFFFFF"/>
        </w:rPr>
        <w:t xml:space="preserve">of ownership </w:t>
      </w:r>
      <w:r>
        <w:rPr>
          <w:rFonts w:asciiTheme="majorBidi" w:eastAsia="Times New Roman" w:hAnsiTheme="majorBidi" w:cstheme="majorBidi"/>
          <w:shd w:val="clear" w:color="auto" w:fill="FFFFFF"/>
        </w:rPr>
        <w:t>between museums. I found there</w:t>
      </w:r>
      <w:r w:rsidRPr="001C376E">
        <w:rPr>
          <w:rFonts w:asciiTheme="majorBidi" w:eastAsia="Times New Roman" w:hAnsiTheme="majorBidi" w:cstheme="majorBidi"/>
          <w:shd w:val="clear" w:color="auto" w:fill="FFFFFF"/>
        </w:rPr>
        <w:t xml:space="preserve"> are stark differences in the extent of provenance transparency</w:t>
      </w:r>
      <w:r>
        <w:rPr>
          <w:rFonts w:asciiTheme="majorBidi" w:eastAsia="Times New Roman" w:hAnsiTheme="majorBidi" w:cstheme="majorBidi"/>
          <w:shd w:val="clear" w:color="auto" w:fill="FFFFFF"/>
        </w:rPr>
        <w:t xml:space="preserve">, </w:t>
      </w:r>
      <w:r w:rsidR="005F52E5">
        <w:rPr>
          <w:rFonts w:asciiTheme="majorBidi" w:eastAsia="Times New Roman" w:hAnsiTheme="majorBidi" w:cstheme="majorBidi"/>
          <w:shd w:val="clear" w:color="auto" w:fill="FFFFFF"/>
        </w:rPr>
        <w:t>illustrated</w:t>
      </w:r>
      <w:r>
        <w:rPr>
          <w:rFonts w:asciiTheme="majorBidi" w:eastAsia="Times New Roman" w:hAnsiTheme="majorBidi" w:cstheme="majorBidi"/>
          <w:shd w:val="clear" w:color="auto" w:fill="FFFFFF"/>
        </w:rPr>
        <w:t xml:space="preserve"> above in Diagram 2</w:t>
      </w:r>
      <w:r w:rsidRPr="001C376E">
        <w:rPr>
          <w:rFonts w:asciiTheme="majorBidi" w:eastAsia="Times New Roman" w:hAnsiTheme="majorBidi" w:cstheme="majorBidi"/>
          <w:shd w:val="clear" w:color="auto" w:fill="FFFFFF"/>
        </w:rPr>
        <w:t xml:space="preserve">. </w:t>
      </w:r>
      <w:r>
        <w:rPr>
          <w:rFonts w:asciiTheme="majorBidi" w:eastAsia="Times New Roman" w:hAnsiTheme="majorBidi" w:cstheme="majorBidi"/>
          <w:shd w:val="clear" w:color="auto" w:fill="FFFFFF"/>
        </w:rPr>
        <w:t>Most</w:t>
      </w:r>
      <w:r w:rsidRPr="001C376E">
        <w:rPr>
          <w:rFonts w:asciiTheme="majorBidi" w:eastAsia="Times New Roman" w:hAnsiTheme="majorBidi" w:cstheme="majorBidi"/>
          <w:shd w:val="clear" w:color="auto" w:fill="FFFFFF"/>
        </w:rPr>
        <w:t xml:space="preserve"> Italian museums’ websites published little to no provenance information.</w:t>
      </w:r>
      <w:r>
        <w:rPr>
          <w:rStyle w:val="FootnoteReference"/>
          <w:rFonts w:asciiTheme="majorBidi" w:eastAsia="Times New Roman" w:hAnsiTheme="majorBidi" w:cstheme="majorBidi"/>
          <w:shd w:val="clear" w:color="auto" w:fill="FFFFFF"/>
        </w:rPr>
        <w:footnoteReference w:id="73"/>
      </w:r>
      <w:r>
        <w:rPr>
          <w:rFonts w:asciiTheme="majorBidi" w:eastAsia="Times New Roman" w:hAnsiTheme="majorBidi" w:cstheme="majorBidi"/>
          <w:shd w:val="clear" w:color="auto" w:fill="FFFFFF"/>
        </w:rPr>
        <w:t xml:space="preserve"> </w:t>
      </w:r>
      <w:r w:rsidRPr="001C376E">
        <w:rPr>
          <w:rFonts w:asciiTheme="majorBidi" w:eastAsia="Times New Roman" w:hAnsiTheme="majorBidi" w:cstheme="majorBidi"/>
          <w:shd w:val="clear" w:color="auto" w:fill="FFFFFF"/>
        </w:rPr>
        <w:t xml:space="preserve">Furthermore, none of the Italian museums included </w:t>
      </w:r>
      <w:r>
        <w:rPr>
          <w:rFonts w:asciiTheme="majorBidi" w:eastAsia="Times New Roman" w:hAnsiTheme="majorBidi" w:cstheme="majorBidi"/>
          <w:shd w:val="clear" w:color="auto" w:fill="FFFFFF"/>
        </w:rPr>
        <w:t>words or phrases to</w:t>
      </w:r>
      <w:r w:rsidRPr="001C376E">
        <w:rPr>
          <w:rFonts w:asciiTheme="majorBidi" w:eastAsia="Times New Roman" w:hAnsiTheme="majorBidi" w:cstheme="majorBidi"/>
          <w:shd w:val="clear" w:color="auto" w:fill="FFFFFF"/>
        </w:rPr>
        <w:t xml:space="preserve"> link historic</w:t>
      </w:r>
      <w:r>
        <w:rPr>
          <w:rFonts w:asciiTheme="majorBidi" w:eastAsia="Times New Roman" w:hAnsiTheme="majorBidi" w:cstheme="majorBidi"/>
          <w:shd w:val="clear" w:color="auto" w:fill="FFFFFF"/>
        </w:rPr>
        <w:t xml:space="preserve"> provenance</w:t>
      </w:r>
      <w:r w:rsidRPr="001C376E">
        <w:rPr>
          <w:rFonts w:asciiTheme="majorBidi" w:eastAsia="Times New Roman" w:hAnsiTheme="majorBidi" w:cstheme="majorBidi"/>
          <w:shd w:val="clear" w:color="auto" w:fill="FFFFFF"/>
        </w:rPr>
        <w:t xml:space="preserve"> and contemporary ownership.</w:t>
      </w:r>
      <w:r>
        <w:rPr>
          <w:rFonts w:asciiTheme="majorBidi" w:eastAsia="Times New Roman" w:hAnsiTheme="majorBidi" w:cstheme="majorBidi"/>
          <w:shd w:val="clear" w:color="auto" w:fill="FFFFFF"/>
        </w:rPr>
        <w:t xml:space="preserve"> For instance, the Museo Nazionale Romano, in its explanation of the Sarcophagus of Portonaccio, uses the term “Roman” throughout, however, it does not use contemporary markers like “Italy”; there is a separation between ancient provenance and contemporary identity.</w:t>
      </w:r>
      <w:r>
        <w:rPr>
          <w:rStyle w:val="FootnoteReference"/>
          <w:rFonts w:asciiTheme="majorBidi" w:eastAsia="Times New Roman" w:hAnsiTheme="majorBidi" w:cstheme="majorBidi"/>
          <w:shd w:val="clear" w:color="auto" w:fill="FFFFFF"/>
        </w:rPr>
        <w:footnoteReference w:id="74"/>
      </w:r>
      <w:r>
        <w:rPr>
          <w:rFonts w:asciiTheme="majorBidi" w:eastAsia="Times New Roman" w:hAnsiTheme="majorBidi" w:cstheme="majorBidi"/>
          <w:shd w:val="clear" w:color="auto" w:fill="FFFFFF"/>
        </w:rPr>
        <w:t xml:space="preserve"> </w:t>
      </w:r>
      <w:r w:rsidRPr="001C376E">
        <w:rPr>
          <w:rFonts w:asciiTheme="majorBidi" w:eastAsia="Times New Roman" w:hAnsiTheme="majorBidi" w:cstheme="majorBidi"/>
          <w:shd w:val="clear" w:color="auto" w:fill="FFFFFF"/>
        </w:rPr>
        <w:t>U.S. museums, in contrast, included detailed provenance records.</w:t>
      </w:r>
      <w:r w:rsidR="00AD3355">
        <w:rPr>
          <w:rStyle w:val="FootnoteReference"/>
          <w:rFonts w:asciiTheme="majorBidi" w:eastAsia="Times New Roman" w:hAnsiTheme="majorBidi" w:cstheme="majorBidi"/>
          <w:shd w:val="clear" w:color="auto" w:fill="FFFFFF"/>
        </w:rPr>
        <w:footnoteReference w:id="75"/>
      </w:r>
      <w:r w:rsidRPr="001C376E">
        <w:rPr>
          <w:rFonts w:asciiTheme="majorBidi" w:eastAsia="Times New Roman" w:hAnsiTheme="majorBidi" w:cstheme="majorBidi"/>
          <w:shd w:val="clear" w:color="auto" w:fill="FFFFFF"/>
        </w:rPr>
        <w:t xml:space="preserve"> While every</w:t>
      </w:r>
      <w:r>
        <w:rPr>
          <w:rFonts w:asciiTheme="majorBidi" w:eastAsia="Times New Roman" w:hAnsiTheme="majorBidi" w:cstheme="majorBidi"/>
          <w:shd w:val="clear" w:color="auto" w:fill="FFFFFF"/>
        </w:rPr>
        <w:t xml:space="preserve"> U.S.</w:t>
      </w:r>
      <w:r w:rsidRPr="001C376E">
        <w:rPr>
          <w:rFonts w:asciiTheme="majorBidi" w:eastAsia="Times New Roman" w:hAnsiTheme="majorBidi" w:cstheme="majorBidi"/>
          <w:shd w:val="clear" w:color="auto" w:fill="FFFFFF"/>
        </w:rPr>
        <w:t xml:space="preserve"> example included </w:t>
      </w:r>
      <w:r>
        <w:rPr>
          <w:rFonts w:asciiTheme="majorBidi" w:eastAsia="Times New Roman" w:hAnsiTheme="majorBidi" w:cstheme="majorBidi"/>
          <w:shd w:val="clear" w:color="auto" w:fill="FFFFFF"/>
        </w:rPr>
        <w:t>object catalogue numbers and ownership</w:t>
      </w:r>
      <w:r w:rsidRPr="001C376E">
        <w:rPr>
          <w:rFonts w:asciiTheme="majorBidi" w:eastAsia="Times New Roman" w:hAnsiTheme="majorBidi" w:cstheme="majorBidi"/>
          <w:shd w:val="clear" w:color="auto" w:fill="FFFFFF"/>
        </w:rPr>
        <w:t xml:space="preserve"> data, some U.S. museums also cited references, bibliographical information, publication records, and exhibition history, all of which demonstrate disposition towards </w:t>
      </w:r>
      <w:r>
        <w:rPr>
          <w:rFonts w:asciiTheme="majorBidi" w:eastAsia="Times New Roman" w:hAnsiTheme="majorBidi" w:cstheme="majorBidi"/>
          <w:shd w:val="clear" w:color="auto" w:fill="FFFFFF"/>
        </w:rPr>
        <w:t>accountability of provenance.</w:t>
      </w:r>
      <w:r>
        <w:rPr>
          <w:rStyle w:val="FootnoteReference"/>
          <w:rFonts w:asciiTheme="majorBidi" w:eastAsia="Times New Roman" w:hAnsiTheme="majorBidi" w:cstheme="majorBidi"/>
          <w:shd w:val="clear" w:color="auto" w:fill="FFFFFF"/>
        </w:rPr>
        <w:footnoteReference w:id="76"/>
      </w:r>
      <w:r>
        <w:rPr>
          <w:rFonts w:asciiTheme="majorBidi" w:eastAsia="Times New Roman" w:hAnsiTheme="majorBidi" w:cstheme="majorBidi"/>
          <w:shd w:val="clear" w:color="auto" w:fill="FFFFFF"/>
        </w:rPr>
        <w:t xml:space="preserve"> As such, </w:t>
      </w:r>
      <w:r>
        <w:rPr>
          <w:rFonts w:asciiTheme="majorBidi" w:eastAsia="Times New Roman" w:hAnsiTheme="majorBidi" w:cstheme="majorBidi"/>
          <w:shd w:val="clear" w:color="auto" w:fill="FFFFFF"/>
        </w:rPr>
        <w:lastRenderedPageBreak/>
        <w:t xml:space="preserve">there is a clear divide between provenance transparency between Italian and U.S. museums, a counterintuitive paradox I will address </w:t>
      </w:r>
      <w:r w:rsidR="00CC0C46">
        <w:rPr>
          <w:rFonts w:asciiTheme="majorBidi" w:eastAsia="Times New Roman" w:hAnsiTheme="majorBidi" w:cstheme="majorBidi"/>
          <w:shd w:val="clear" w:color="auto" w:fill="FFFFFF"/>
        </w:rPr>
        <w:t>below</w:t>
      </w:r>
      <w:r>
        <w:rPr>
          <w:rFonts w:asciiTheme="majorBidi" w:eastAsia="Times New Roman" w:hAnsiTheme="majorBidi" w:cstheme="majorBidi"/>
          <w:shd w:val="clear" w:color="auto" w:fill="FFFFFF"/>
        </w:rPr>
        <w:t>.</w:t>
      </w:r>
    </w:p>
    <w:p w14:paraId="60C8350F" w14:textId="0296B2F4" w:rsidR="00DF60B2" w:rsidRDefault="00712E90" w:rsidP="00100B78">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 xml:space="preserve">Third, analysis indicated that </w:t>
      </w:r>
      <w:r w:rsidRPr="001C376E">
        <w:rPr>
          <w:rFonts w:asciiTheme="majorBidi" w:eastAsia="Times New Roman" w:hAnsiTheme="majorBidi" w:cstheme="majorBidi"/>
          <w:shd w:val="clear" w:color="auto" w:fill="FFFFFF"/>
        </w:rPr>
        <w:t xml:space="preserve">the websites of both U.S. and Italian museums </w:t>
      </w:r>
      <w:r>
        <w:rPr>
          <w:rFonts w:asciiTheme="majorBidi" w:eastAsia="Times New Roman" w:hAnsiTheme="majorBidi" w:cstheme="majorBidi"/>
          <w:shd w:val="clear" w:color="auto" w:fill="FFFFFF"/>
        </w:rPr>
        <w:t>excluded</w:t>
      </w:r>
      <w:r w:rsidRPr="001C376E">
        <w:rPr>
          <w:rFonts w:asciiTheme="majorBidi" w:eastAsia="Times New Roman" w:hAnsiTheme="majorBidi" w:cstheme="majorBidi"/>
          <w:shd w:val="clear" w:color="auto" w:fill="FFFFFF"/>
        </w:rPr>
        <w:t xml:space="preserve"> </w:t>
      </w:r>
      <w:r>
        <w:rPr>
          <w:rFonts w:asciiTheme="majorBidi" w:eastAsia="Times New Roman" w:hAnsiTheme="majorBidi" w:cstheme="majorBidi"/>
          <w:shd w:val="clear" w:color="auto" w:fill="FFFFFF"/>
        </w:rPr>
        <w:t xml:space="preserve">visual context by including </w:t>
      </w:r>
      <w:r w:rsidRPr="001C376E">
        <w:rPr>
          <w:rFonts w:asciiTheme="majorBidi" w:eastAsia="Times New Roman" w:hAnsiTheme="majorBidi" w:cstheme="majorBidi"/>
          <w:shd w:val="clear" w:color="auto" w:fill="FFFFFF"/>
        </w:rPr>
        <w:t xml:space="preserve">photographs </w:t>
      </w:r>
      <w:r>
        <w:rPr>
          <w:rFonts w:asciiTheme="majorBidi" w:eastAsia="Times New Roman" w:hAnsiTheme="majorBidi" w:cstheme="majorBidi"/>
          <w:shd w:val="clear" w:color="auto" w:fill="FFFFFF"/>
        </w:rPr>
        <w:t xml:space="preserve">that </w:t>
      </w:r>
      <w:r w:rsidRPr="001C376E">
        <w:rPr>
          <w:rFonts w:asciiTheme="majorBidi" w:eastAsia="Times New Roman" w:hAnsiTheme="majorBidi" w:cstheme="majorBidi"/>
          <w:shd w:val="clear" w:color="auto" w:fill="FFFFFF"/>
        </w:rPr>
        <w:t>were t</w:t>
      </w:r>
      <w:r>
        <w:rPr>
          <w:rFonts w:asciiTheme="majorBidi" w:eastAsia="Times New Roman" w:hAnsiTheme="majorBidi" w:cstheme="majorBidi"/>
          <w:shd w:val="clear" w:color="auto" w:fill="FFFFFF"/>
        </w:rPr>
        <w:t>aken with neutral backgrounds.</w:t>
      </w:r>
      <w:r w:rsidR="003375F3">
        <w:rPr>
          <w:rStyle w:val="FootnoteReference"/>
          <w:rFonts w:asciiTheme="majorBidi" w:eastAsia="Times New Roman" w:hAnsiTheme="majorBidi" w:cstheme="majorBidi"/>
          <w:shd w:val="clear" w:color="auto" w:fill="FFFFFF"/>
        </w:rPr>
        <w:footnoteReference w:id="77"/>
      </w:r>
      <w:r w:rsidR="002E5261">
        <w:rPr>
          <w:rFonts w:asciiTheme="majorBidi" w:eastAsia="Times New Roman" w:hAnsiTheme="majorBidi" w:cstheme="majorBidi"/>
          <w:shd w:val="clear" w:color="auto" w:fill="FFFFFF"/>
        </w:rPr>
        <w:t xml:space="preserve"> However, </w:t>
      </w:r>
      <w:r w:rsidR="0013392F">
        <w:rPr>
          <w:rFonts w:asciiTheme="majorBidi" w:eastAsia="Times New Roman" w:hAnsiTheme="majorBidi" w:cstheme="majorBidi"/>
          <w:shd w:val="clear" w:color="auto" w:fill="FFFFFF"/>
        </w:rPr>
        <w:t>on Twitter, Italian used visual context in photographs to link ancient Rome and modern Italy</w:t>
      </w:r>
      <w:r w:rsidRPr="001C376E">
        <w:rPr>
          <w:rFonts w:asciiTheme="majorBidi" w:eastAsia="Times New Roman" w:hAnsiTheme="majorBidi" w:cstheme="majorBidi"/>
          <w:shd w:val="clear" w:color="auto" w:fill="FFFFFF"/>
        </w:rPr>
        <w:t xml:space="preserve">. </w:t>
      </w:r>
      <w:r w:rsidR="0013392F">
        <w:rPr>
          <w:rFonts w:asciiTheme="majorBidi" w:eastAsia="Times New Roman" w:hAnsiTheme="majorBidi" w:cstheme="majorBidi"/>
          <w:shd w:val="clear" w:color="auto" w:fill="FFFFFF"/>
        </w:rPr>
        <w:t xml:space="preserve">Specifically, </w:t>
      </w:r>
      <w:r w:rsidRPr="001C376E">
        <w:rPr>
          <w:rFonts w:asciiTheme="majorBidi" w:eastAsia="Times New Roman" w:hAnsiTheme="majorBidi" w:cstheme="majorBidi"/>
          <w:shd w:val="clear" w:color="auto" w:fill="FFFFFF"/>
        </w:rPr>
        <w:t>Italian museums Tweeted about Italian artifacts using temporal contextual elements</w:t>
      </w:r>
      <w:r w:rsidR="00616CC7">
        <w:rPr>
          <w:rFonts w:asciiTheme="majorBidi" w:eastAsia="Times New Roman" w:hAnsiTheme="majorBidi" w:cstheme="majorBidi"/>
          <w:shd w:val="clear" w:color="auto" w:fill="FFFFFF"/>
        </w:rPr>
        <w:t xml:space="preserve">. For example, some included photographs of artifacts displayed in </w:t>
      </w:r>
      <w:r>
        <w:rPr>
          <w:rFonts w:asciiTheme="majorBidi" w:eastAsia="Times New Roman" w:hAnsiTheme="majorBidi" w:cstheme="majorBidi"/>
          <w:shd w:val="clear" w:color="auto" w:fill="FFFFFF"/>
        </w:rPr>
        <w:t>historic settings such as</w:t>
      </w:r>
      <w:r w:rsidRPr="001C376E">
        <w:rPr>
          <w:rFonts w:asciiTheme="majorBidi" w:eastAsia="Times New Roman" w:hAnsiTheme="majorBidi" w:cstheme="majorBidi"/>
          <w:shd w:val="clear" w:color="auto" w:fill="FFFFFF"/>
        </w:rPr>
        <w:t xml:space="preserve"> Roman villa</w:t>
      </w:r>
      <w:r>
        <w:rPr>
          <w:rFonts w:asciiTheme="majorBidi" w:eastAsia="Times New Roman" w:hAnsiTheme="majorBidi" w:cstheme="majorBidi"/>
          <w:shd w:val="clear" w:color="auto" w:fill="FFFFFF"/>
        </w:rPr>
        <w:t>s</w:t>
      </w:r>
      <w:r w:rsidR="00616CC7">
        <w:rPr>
          <w:rFonts w:asciiTheme="majorBidi" w:eastAsia="Times New Roman" w:hAnsiTheme="majorBidi" w:cstheme="majorBidi"/>
          <w:shd w:val="clear" w:color="auto" w:fill="FFFFFF"/>
        </w:rPr>
        <w:t xml:space="preserve">, giving insight that these museums valued the relationship between time and ownership. </w:t>
      </w:r>
      <w:r>
        <w:rPr>
          <w:rStyle w:val="FootnoteReference"/>
          <w:rFonts w:asciiTheme="majorBidi" w:eastAsia="Times New Roman" w:hAnsiTheme="majorBidi" w:cstheme="majorBidi"/>
          <w:shd w:val="clear" w:color="auto" w:fill="FFFFFF"/>
        </w:rPr>
        <w:footnoteReference w:id="78"/>
      </w:r>
      <w:r w:rsidRPr="001C376E">
        <w:rPr>
          <w:rFonts w:asciiTheme="majorBidi" w:eastAsia="Times New Roman" w:hAnsiTheme="majorBidi" w:cstheme="majorBidi"/>
          <w:shd w:val="clear" w:color="auto" w:fill="FFFFFF"/>
        </w:rPr>
        <w:t xml:space="preserve"> </w:t>
      </w:r>
      <w:r w:rsidR="00616CC7">
        <w:rPr>
          <w:rFonts w:asciiTheme="majorBidi" w:eastAsia="Times New Roman" w:hAnsiTheme="majorBidi" w:cstheme="majorBidi"/>
          <w:shd w:val="clear" w:color="auto" w:fill="FFFFFF"/>
        </w:rPr>
        <w:t>Conversely, t</w:t>
      </w:r>
      <w:r w:rsidRPr="001C376E">
        <w:rPr>
          <w:rFonts w:asciiTheme="majorBidi" w:eastAsia="Times New Roman" w:hAnsiTheme="majorBidi" w:cstheme="majorBidi"/>
          <w:shd w:val="clear" w:color="auto" w:fill="FFFFFF"/>
        </w:rPr>
        <w:t>he U.S. museums Tweeted pictures without this context; they continued to use plain backdrops that disengaged the artifacts from visual</w:t>
      </w:r>
      <w:r w:rsidR="00616CC7">
        <w:rPr>
          <w:rFonts w:asciiTheme="majorBidi" w:eastAsia="Times New Roman" w:hAnsiTheme="majorBidi" w:cstheme="majorBidi"/>
          <w:shd w:val="clear" w:color="auto" w:fill="FFFFFF"/>
        </w:rPr>
        <w:t xml:space="preserve"> and historic</w:t>
      </w:r>
      <w:r w:rsidRPr="001C376E">
        <w:rPr>
          <w:rFonts w:asciiTheme="majorBidi" w:eastAsia="Times New Roman" w:hAnsiTheme="majorBidi" w:cstheme="majorBidi"/>
          <w:shd w:val="clear" w:color="auto" w:fill="FFFFFF"/>
        </w:rPr>
        <w:t xml:space="preserve"> context</w:t>
      </w:r>
      <w:r>
        <w:rPr>
          <w:rFonts w:asciiTheme="majorBidi" w:eastAsia="Times New Roman" w:hAnsiTheme="majorBidi" w:cstheme="majorBidi"/>
          <w:shd w:val="clear" w:color="auto" w:fill="FFFFFF"/>
        </w:rPr>
        <w:t>.</w:t>
      </w:r>
      <w:r>
        <w:rPr>
          <w:rStyle w:val="FootnoteReference"/>
          <w:rFonts w:asciiTheme="majorBidi" w:eastAsia="Times New Roman" w:hAnsiTheme="majorBidi" w:cstheme="majorBidi"/>
          <w:shd w:val="clear" w:color="auto" w:fill="FFFFFF"/>
        </w:rPr>
        <w:footnoteReference w:id="79"/>
      </w:r>
      <w:r w:rsidR="00616CC7">
        <w:rPr>
          <w:rFonts w:asciiTheme="majorBidi" w:eastAsia="Times New Roman" w:hAnsiTheme="majorBidi" w:cstheme="majorBidi"/>
          <w:shd w:val="clear" w:color="auto" w:fill="FFFFFF"/>
        </w:rPr>
        <w:t xml:space="preserve"> Therefore, Italian museums created a temporal nexus between ancient Rome and contemporary Italy while U.S. museums isolated the ancient historical period. </w:t>
      </w:r>
    </w:p>
    <w:p w14:paraId="636F28EE" w14:textId="03B19D5B" w:rsidR="00274559" w:rsidRPr="00F56C8E" w:rsidRDefault="002D630A" w:rsidP="008A2F61">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 xml:space="preserve">The fact that U.S. and Italian taskforces share understandings of ownership offer a critique to current legal theory that suggests </w:t>
      </w:r>
      <w:r w:rsidR="00D9182C">
        <w:rPr>
          <w:rFonts w:asciiTheme="majorBidi" w:eastAsia="Times New Roman" w:hAnsiTheme="majorBidi" w:cstheme="majorBidi"/>
          <w:shd w:val="clear" w:color="auto" w:fill="FFFFFF"/>
        </w:rPr>
        <w:t xml:space="preserve">legal </w:t>
      </w:r>
      <w:r>
        <w:rPr>
          <w:rFonts w:asciiTheme="majorBidi" w:eastAsia="Times New Roman" w:hAnsiTheme="majorBidi" w:cstheme="majorBidi"/>
          <w:shd w:val="clear" w:color="auto" w:fill="FFFFFF"/>
        </w:rPr>
        <w:t>institutions are ineffective at crafting shared meaning-making.</w:t>
      </w:r>
      <w:r>
        <w:rPr>
          <w:rStyle w:val="FootnoteReference"/>
          <w:rFonts w:asciiTheme="majorBidi" w:eastAsia="Times New Roman" w:hAnsiTheme="majorBidi" w:cstheme="majorBidi"/>
          <w:shd w:val="clear" w:color="auto" w:fill="FFFFFF"/>
        </w:rPr>
        <w:footnoteReference w:id="80"/>
      </w:r>
      <w:r>
        <w:rPr>
          <w:rFonts w:asciiTheme="majorBidi" w:eastAsia="Times New Roman" w:hAnsiTheme="majorBidi" w:cstheme="majorBidi"/>
          <w:shd w:val="clear" w:color="auto" w:fill="FFFFFF"/>
        </w:rPr>
        <w:t xml:space="preserve"> </w:t>
      </w:r>
      <w:r w:rsidR="00D80117">
        <w:rPr>
          <w:rFonts w:asciiTheme="majorBidi" w:eastAsia="Times New Roman" w:hAnsiTheme="majorBidi" w:cstheme="majorBidi"/>
          <w:shd w:val="clear" w:color="auto" w:fill="FFFFFF"/>
        </w:rPr>
        <w:t xml:space="preserve">It also serves as a counter to post-colonial economic and social theory. </w:t>
      </w:r>
      <w:r>
        <w:rPr>
          <w:rFonts w:asciiTheme="majorBidi" w:eastAsia="Times New Roman" w:hAnsiTheme="majorBidi" w:cstheme="majorBidi"/>
          <w:shd w:val="clear" w:color="auto" w:fill="FFFFFF"/>
        </w:rPr>
        <w:t xml:space="preserve">The two findings related to museums and their acknowledgement of provenance transparency and temporal context </w:t>
      </w:r>
      <w:r w:rsidR="00100B78">
        <w:rPr>
          <w:rFonts w:asciiTheme="majorBidi" w:eastAsia="Times New Roman" w:hAnsiTheme="majorBidi" w:cstheme="majorBidi"/>
          <w:shd w:val="clear" w:color="auto" w:fill="FFFFFF"/>
        </w:rPr>
        <w:t>run counter to logical intuition; one would expect that Italian museums publish more provenance because they are invested in the restitution for their own artifacts.</w:t>
      </w:r>
      <w:r w:rsidR="00D9182C">
        <w:rPr>
          <w:rFonts w:asciiTheme="majorBidi" w:eastAsia="Times New Roman" w:hAnsiTheme="majorBidi" w:cstheme="majorBidi"/>
          <w:shd w:val="clear" w:color="auto" w:fill="FFFFFF"/>
        </w:rPr>
        <w:t xml:space="preserve"> However, current legal assumptions suggest that Italian museums are not invested in restitution.</w:t>
      </w:r>
      <w:r w:rsidR="00100B78">
        <w:rPr>
          <w:rFonts w:asciiTheme="majorBidi" w:eastAsia="Times New Roman" w:hAnsiTheme="majorBidi" w:cstheme="majorBidi"/>
          <w:shd w:val="clear" w:color="auto" w:fill="FFFFFF"/>
        </w:rPr>
        <w:t xml:space="preserve"> As such, when these findings are applied to </w:t>
      </w:r>
      <w:r w:rsidR="00D9182C">
        <w:rPr>
          <w:rFonts w:asciiTheme="majorBidi" w:eastAsia="Times New Roman" w:hAnsiTheme="majorBidi" w:cstheme="majorBidi"/>
          <w:shd w:val="clear" w:color="auto" w:fill="FFFFFF"/>
        </w:rPr>
        <w:t xml:space="preserve">legal, economic, and social </w:t>
      </w:r>
      <w:r w:rsidR="00100B78">
        <w:rPr>
          <w:rFonts w:asciiTheme="majorBidi" w:eastAsia="Times New Roman" w:hAnsiTheme="majorBidi" w:cstheme="majorBidi"/>
          <w:shd w:val="clear" w:color="auto" w:fill="FFFFFF"/>
        </w:rPr>
        <w:t xml:space="preserve">theory, they </w:t>
      </w:r>
      <w:r w:rsidR="00D9182C">
        <w:rPr>
          <w:rFonts w:asciiTheme="majorBidi" w:eastAsia="Times New Roman" w:hAnsiTheme="majorBidi" w:cstheme="majorBidi"/>
          <w:shd w:val="clear" w:color="auto" w:fill="FFFFFF"/>
        </w:rPr>
        <w:t>highlight</w:t>
      </w:r>
      <w:r w:rsidR="00100B78">
        <w:rPr>
          <w:rFonts w:asciiTheme="majorBidi" w:eastAsia="Times New Roman" w:hAnsiTheme="majorBidi" w:cstheme="majorBidi"/>
          <w:shd w:val="clear" w:color="auto" w:fill="FFFFFF"/>
        </w:rPr>
        <w:t xml:space="preserve"> </w:t>
      </w:r>
      <w:r w:rsidR="008A2F61">
        <w:rPr>
          <w:rFonts w:asciiTheme="majorBidi" w:eastAsia="Times New Roman" w:hAnsiTheme="majorBidi" w:cstheme="majorBidi"/>
          <w:shd w:val="clear" w:color="auto" w:fill="FFFFFF"/>
        </w:rPr>
        <w:t xml:space="preserve">a striking </w:t>
      </w:r>
      <w:r w:rsidR="00D9182C">
        <w:rPr>
          <w:rFonts w:asciiTheme="majorBidi" w:eastAsia="Times New Roman" w:hAnsiTheme="majorBidi" w:cstheme="majorBidi"/>
          <w:shd w:val="clear" w:color="auto" w:fill="FFFFFF"/>
        </w:rPr>
        <w:t>paradox.</w:t>
      </w:r>
    </w:p>
    <w:p w14:paraId="73824FA5" w14:textId="4589C920" w:rsidR="00213575" w:rsidRPr="00D03311" w:rsidRDefault="002D2713" w:rsidP="002B6184">
      <w:pPr>
        <w:spacing w:line="480" w:lineRule="auto"/>
        <w:ind w:firstLine="720"/>
        <w:rPr>
          <w:rFonts w:asciiTheme="majorBidi" w:eastAsia="Times New Roman" w:hAnsiTheme="majorBidi" w:cstheme="majorBidi"/>
        </w:rPr>
      </w:pPr>
      <w:r>
        <w:rPr>
          <w:rFonts w:asciiTheme="majorBidi" w:eastAsia="Times New Roman" w:hAnsiTheme="majorBidi" w:cstheme="majorBidi"/>
          <w:shd w:val="clear" w:color="auto" w:fill="FFFFFF"/>
        </w:rPr>
        <w:lastRenderedPageBreak/>
        <w:t xml:space="preserve">The first finding </w:t>
      </w:r>
      <w:r w:rsidR="00117E86">
        <w:rPr>
          <w:rFonts w:asciiTheme="majorBidi" w:eastAsia="Times New Roman" w:hAnsiTheme="majorBidi" w:cstheme="majorBidi"/>
          <w:shd w:val="clear" w:color="auto" w:fill="FFFFFF"/>
        </w:rPr>
        <w:t>that</w:t>
      </w:r>
      <w:r>
        <w:rPr>
          <w:rFonts w:asciiTheme="majorBidi" w:eastAsia="Times New Roman" w:hAnsiTheme="majorBidi" w:cstheme="majorBidi"/>
          <w:shd w:val="clear" w:color="auto" w:fill="FFFFFF"/>
        </w:rPr>
        <w:t xml:space="preserve"> international taskforces’ </w:t>
      </w:r>
      <w:r w:rsidR="00117E86">
        <w:rPr>
          <w:rFonts w:asciiTheme="majorBidi" w:eastAsia="Times New Roman" w:hAnsiTheme="majorBidi" w:cstheme="majorBidi"/>
          <w:shd w:val="clear" w:color="auto" w:fill="FFFFFF"/>
        </w:rPr>
        <w:t>share</w:t>
      </w:r>
      <w:r>
        <w:rPr>
          <w:rFonts w:asciiTheme="majorBidi" w:eastAsia="Times New Roman" w:hAnsiTheme="majorBidi" w:cstheme="majorBidi"/>
          <w:shd w:val="clear" w:color="auto" w:fill="FFFFFF"/>
        </w:rPr>
        <w:t xml:space="preserve"> understanding about ownership and </w:t>
      </w:r>
      <w:r w:rsidR="001714E2">
        <w:rPr>
          <w:rFonts w:asciiTheme="majorBidi" w:eastAsia="Times New Roman" w:hAnsiTheme="majorBidi" w:cstheme="majorBidi"/>
          <w:shd w:val="clear" w:color="auto" w:fill="FFFFFF"/>
        </w:rPr>
        <w:t>they have a collective call</w:t>
      </w:r>
      <w:r>
        <w:rPr>
          <w:rFonts w:asciiTheme="majorBidi" w:eastAsia="Times New Roman" w:hAnsiTheme="majorBidi" w:cstheme="majorBidi"/>
          <w:shd w:val="clear" w:color="auto" w:fill="FFFFFF"/>
        </w:rPr>
        <w:t xml:space="preserve"> for international cooperation </w:t>
      </w:r>
      <w:r w:rsidR="00C216E9">
        <w:rPr>
          <w:rFonts w:asciiTheme="majorBidi" w:eastAsia="Times New Roman" w:hAnsiTheme="majorBidi" w:cstheme="majorBidi"/>
          <w:shd w:val="clear" w:color="auto" w:fill="FFFFFF"/>
        </w:rPr>
        <w:t xml:space="preserve">adds new dimensions to existing legal </w:t>
      </w:r>
      <w:r w:rsidR="00924D30">
        <w:rPr>
          <w:rFonts w:asciiTheme="majorBidi" w:eastAsia="Times New Roman" w:hAnsiTheme="majorBidi" w:cstheme="majorBidi"/>
          <w:shd w:val="clear" w:color="auto" w:fill="FFFFFF"/>
        </w:rPr>
        <w:t xml:space="preserve">and </w:t>
      </w:r>
      <w:r w:rsidR="001714E2">
        <w:rPr>
          <w:rFonts w:asciiTheme="majorBidi" w:eastAsia="Times New Roman" w:hAnsiTheme="majorBidi" w:cstheme="majorBidi"/>
          <w:shd w:val="clear" w:color="auto" w:fill="FFFFFF"/>
        </w:rPr>
        <w:t>post-colonial</w:t>
      </w:r>
      <w:r w:rsidR="00924D30">
        <w:rPr>
          <w:rFonts w:asciiTheme="majorBidi" w:eastAsia="Times New Roman" w:hAnsiTheme="majorBidi" w:cstheme="majorBidi"/>
          <w:shd w:val="clear" w:color="auto" w:fill="FFFFFF"/>
        </w:rPr>
        <w:t xml:space="preserve"> </w:t>
      </w:r>
      <w:r w:rsidR="00C216E9">
        <w:rPr>
          <w:rFonts w:asciiTheme="majorBidi" w:eastAsia="Times New Roman" w:hAnsiTheme="majorBidi" w:cstheme="majorBidi"/>
          <w:shd w:val="clear" w:color="auto" w:fill="FFFFFF"/>
        </w:rPr>
        <w:t>theory. Legal theorists widely claim that international and domestic law, including bilateral agreements, are not effective at fostering meaningful cooperation.</w:t>
      </w:r>
      <w:r w:rsidR="00C216E9">
        <w:rPr>
          <w:rStyle w:val="FootnoteReference"/>
          <w:rFonts w:asciiTheme="majorBidi" w:eastAsia="Times New Roman" w:hAnsiTheme="majorBidi" w:cstheme="majorBidi"/>
          <w:shd w:val="clear" w:color="auto" w:fill="FFFFFF"/>
        </w:rPr>
        <w:footnoteReference w:id="81"/>
      </w:r>
      <w:r w:rsidR="00C216E9">
        <w:rPr>
          <w:rFonts w:asciiTheme="majorBidi" w:eastAsia="Times New Roman" w:hAnsiTheme="majorBidi" w:cstheme="majorBidi"/>
          <w:shd w:val="clear" w:color="auto" w:fill="FFFFFF"/>
        </w:rPr>
        <w:t xml:space="preserve"> However, th</w:t>
      </w:r>
      <w:r w:rsidR="001714E2">
        <w:rPr>
          <w:rFonts w:asciiTheme="majorBidi" w:eastAsia="Times New Roman" w:hAnsiTheme="majorBidi" w:cstheme="majorBidi"/>
          <w:shd w:val="clear" w:color="auto" w:fill="FFFFFF"/>
        </w:rPr>
        <w:t>is paper finds that taskforces take pride in their a</w:t>
      </w:r>
      <w:r w:rsidR="00C216E9">
        <w:rPr>
          <w:rFonts w:asciiTheme="majorBidi" w:eastAsia="Times New Roman" w:hAnsiTheme="majorBidi" w:cstheme="majorBidi"/>
          <w:shd w:val="clear" w:color="auto" w:fill="FFFFFF"/>
        </w:rPr>
        <w:t>dhere</w:t>
      </w:r>
      <w:r w:rsidR="001714E2">
        <w:rPr>
          <w:rFonts w:asciiTheme="majorBidi" w:eastAsia="Times New Roman" w:hAnsiTheme="majorBidi" w:cstheme="majorBidi"/>
          <w:shd w:val="clear" w:color="auto" w:fill="FFFFFF"/>
        </w:rPr>
        <w:t>nce</w:t>
      </w:r>
      <w:r w:rsidR="00C216E9">
        <w:rPr>
          <w:rFonts w:asciiTheme="majorBidi" w:eastAsia="Times New Roman" w:hAnsiTheme="majorBidi" w:cstheme="majorBidi"/>
          <w:shd w:val="clear" w:color="auto" w:fill="FFFFFF"/>
        </w:rPr>
        <w:t xml:space="preserve"> to both domestic and international law.</w:t>
      </w:r>
      <w:r w:rsidR="00384766">
        <w:rPr>
          <w:rFonts w:asciiTheme="majorBidi" w:eastAsia="Times New Roman" w:hAnsiTheme="majorBidi" w:cstheme="majorBidi"/>
          <w:shd w:val="clear" w:color="auto" w:fill="FFFFFF"/>
        </w:rPr>
        <w:t xml:space="preserve"> </w:t>
      </w:r>
      <w:r w:rsidR="00CB3002">
        <w:rPr>
          <w:rFonts w:asciiTheme="majorBidi" w:eastAsia="Times New Roman" w:hAnsiTheme="majorBidi" w:cstheme="majorBidi"/>
          <w:shd w:val="clear" w:color="auto" w:fill="FFFFFF"/>
        </w:rPr>
        <w:t xml:space="preserve">Instead, </w:t>
      </w:r>
      <w:r w:rsidR="00C216E9">
        <w:rPr>
          <w:rFonts w:asciiTheme="majorBidi" w:eastAsia="Times New Roman" w:hAnsiTheme="majorBidi" w:cstheme="majorBidi"/>
          <w:shd w:val="clear" w:color="auto" w:fill="FFFFFF"/>
        </w:rPr>
        <w:t>it is museums that are inhibiting restitution, not international taskforces</w:t>
      </w:r>
      <w:r w:rsidR="002D630A">
        <w:rPr>
          <w:rFonts w:asciiTheme="majorBidi" w:eastAsia="Times New Roman" w:hAnsiTheme="majorBidi" w:cstheme="majorBidi"/>
          <w:shd w:val="clear" w:color="auto" w:fill="FFFFFF"/>
        </w:rPr>
        <w:t>.</w:t>
      </w:r>
      <w:r w:rsidR="00924D30">
        <w:rPr>
          <w:rFonts w:asciiTheme="majorBidi" w:eastAsia="Times New Roman" w:hAnsiTheme="majorBidi" w:cstheme="majorBidi"/>
          <w:shd w:val="clear" w:color="auto" w:fill="FFFFFF"/>
        </w:rPr>
        <w:t xml:space="preserve"> </w:t>
      </w:r>
      <w:r w:rsidR="00FE45C7">
        <w:rPr>
          <w:rFonts w:asciiTheme="majorBidi" w:hAnsiTheme="majorBidi" w:cstheme="majorBidi"/>
        </w:rPr>
        <w:t>To supplement this dilemma</w:t>
      </w:r>
      <w:r w:rsidR="00C216E9">
        <w:rPr>
          <w:rFonts w:asciiTheme="majorBidi" w:hAnsiTheme="majorBidi" w:cstheme="majorBidi"/>
        </w:rPr>
        <w:t>, legal theory should continue to support the collaboration between taskforces</w:t>
      </w:r>
      <w:r w:rsidR="002D630A">
        <w:rPr>
          <w:rFonts w:asciiTheme="majorBidi" w:hAnsiTheme="majorBidi" w:cstheme="majorBidi"/>
        </w:rPr>
        <w:t xml:space="preserve">. </w:t>
      </w:r>
    </w:p>
    <w:p w14:paraId="3927018C" w14:textId="653A38FB" w:rsidR="002B6184" w:rsidRPr="00D80117" w:rsidRDefault="00D03311" w:rsidP="008A2F61">
      <w:pPr>
        <w:spacing w:line="480" w:lineRule="auto"/>
        <w:ind w:firstLine="720"/>
        <w:rPr>
          <w:rFonts w:asciiTheme="majorBidi" w:hAnsiTheme="majorBidi" w:cstheme="majorBidi"/>
        </w:rPr>
      </w:pPr>
      <w:r>
        <w:rPr>
          <w:rFonts w:asciiTheme="majorBidi" w:hAnsiTheme="majorBidi" w:cstheme="majorBidi"/>
        </w:rPr>
        <w:t>The shared understanding between intentional taskforces</w:t>
      </w:r>
      <w:r w:rsidR="00924D30">
        <w:rPr>
          <w:rFonts w:asciiTheme="majorBidi" w:hAnsiTheme="majorBidi" w:cstheme="majorBidi"/>
        </w:rPr>
        <w:t xml:space="preserve"> also has implications on </w:t>
      </w:r>
      <w:r w:rsidR="00D80117">
        <w:rPr>
          <w:rFonts w:asciiTheme="majorBidi" w:hAnsiTheme="majorBidi" w:cstheme="majorBidi"/>
        </w:rPr>
        <w:t xml:space="preserve">post-colonial economic and social theory which argues that market nations in </w:t>
      </w:r>
      <w:r w:rsidR="002B6184">
        <w:rPr>
          <w:rFonts w:asciiTheme="majorBidi" w:hAnsiTheme="majorBidi" w:cstheme="majorBidi"/>
        </w:rPr>
        <w:t xml:space="preserve">positions of </w:t>
      </w:r>
      <w:r w:rsidR="00D80117">
        <w:rPr>
          <w:rFonts w:asciiTheme="majorBidi" w:hAnsiTheme="majorBidi" w:cstheme="majorBidi"/>
        </w:rPr>
        <w:t>power harvest artifacts to reduce a source nation’s autonomy over its cultural identity.</w:t>
      </w:r>
      <w:r w:rsidR="00D80117">
        <w:rPr>
          <w:rStyle w:val="FootnoteReference"/>
          <w:rFonts w:asciiTheme="majorBidi" w:hAnsiTheme="majorBidi" w:cstheme="majorBidi"/>
        </w:rPr>
        <w:footnoteReference w:id="82"/>
      </w:r>
      <w:r w:rsidR="00D80117">
        <w:rPr>
          <w:rFonts w:asciiTheme="majorBidi" w:hAnsiTheme="majorBidi" w:cstheme="majorBidi"/>
        </w:rPr>
        <w:t xml:space="preserve"> Because the relationship between the U.S. and Italy is not colonial, and their taskforces cooperate, this paper supports the conclusion that inhibition to restitution by national legal institutions like taskforces is less likely to occur if the involved parties do not share a colonial past. Therefore, policy must focus on fostering cooperation, through </w:t>
      </w:r>
      <w:r w:rsidR="002B6184">
        <w:rPr>
          <w:rFonts w:asciiTheme="majorBidi" w:hAnsiTheme="majorBidi" w:cstheme="majorBidi"/>
        </w:rPr>
        <w:t xml:space="preserve">international law and </w:t>
      </w:r>
      <w:r w:rsidR="00D80117">
        <w:rPr>
          <w:rFonts w:asciiTheme="majorBidi" w:hAnsiTheme="majorBidi" w:cstheme="majorBidi"/>
        </w:rPr>
        <w:t>bilateral agreements l</w:t>
      </w:r>
      <w:r w:rsidR="002B6184">
        <w:rPr>
          <w:rFonts w:asciiTheme="majorBidi" w:hAnsiTheme="majorBidi" w:cstheme="majorBidi"/>
        </w:rPr>
        <w:t xml:space="preserve">ike the U.S.-Italian agreement, between countries that do not share colonial pasts to set a precedent of successful cooperation. </w:t>
      </w:r>
    </w:p>
    <w:p w14:paraId="196D4EEC" w14:textId="72C01759" w:rsidR="00AE5957" w:rsidRDefault="00FE5858" w:rsidP="0076168B">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 xml:space="preserve">The second and third findings of this analysis </w:t>
      </w:r>
      <w:r w:rsidR="002D630A">
        <w:rPr>
          <w:rFonts w:asciiTheme="majorBidi" w:eastAsia="Times New Roman" w:hAnsiTheme="majorBidi" w:cstheme="majorBidi"/>
          <w:shd w:val="clear" w:color="auto" w:fill="FFFFFF"/>
        </w:rPr>
        <w:t xml:space="preserve">identify </w:t>
      </w:r>
      <w:r>
        <w:rPr>
          <w:rFonts w:asciiTheme="majorBidi" w:eastAsia="Times New Roman" w:hAnsiTheme="majorBidi" w:cstheme="majorBidi"/>
          <w:shd w:val="clear" w:color="auto" w:fill="FFFFFF"/>
        </w:rPr>
        <w:t xml:space="preserve">that museums fundamentally understand </w:t>
      </w:r>
      <w:r w:rsidR="00D42F3F">
        <w:rPr>
          <w:rFonts w:asciiTheme="majorBidi" w:eastAsia="Times New Roman" w:hAnsiTheme="majorBidi" w:cstheme="majorBidi"/>
          <w:shd w:val="clear" w:color="auto" w:fill="FFFFFF"/>
        </w:rPr>
        <w:t>ownership</w:t>
      </w:r>
      <w:r w:rsidR="00233B1E">
        <w:rPr>
          <w:rFonts w:asciiTheme="majorBidi" w:eastAsia="Times New Roman" w:hAnsiTheme="majorBidi" w:cstheme="majorBidi"/>
          <w:shd w:val="clear" w:color="auto" w:fill="FFFFFF"/>
        </w:rPr>
        <w:t xml:space="preserve"> differently than taskforces</w:t>
      </w:r>
      <w:r w:rsidR="004F7E5E">
        <w:rPr>
          <w:rFonts w:asciiTheme="majorBidi" w:eastAsia="Times New Roman" w:hAnsiTheme="majorBidi" w:cstheme="majorBidi"/>
          <w:shd w:val="clear" w:color="auto" w:fill="FFFFFF"/>
        </w:rPr>
        <w:t xml:space="preserve">. </w:t>
      </w:r>
      <w:r w:rsidR="00AE5957">
        <w:rPr>
          <w:rFonts w:asciiTheme="majorBidi" w:eastAsia="Times New Roman" w:hAnsiTheme="majorBidi" w:cstheme="majorBidi"/>
          <w:shd w:val="clear" w:color="auto" w:fill="FFFFFF"/>
        </w:rPr>
        <w:t xml:space="preserve">First, museums understand the role of time differently, indicated by the inclusion or absence of a contextual nexus between contemporary Italy and ancient Rome. This dynamic applies post-colonial theory to the case of the U.S. and Italy. For example, Davis identifies that the use of temporal indicators, such as visual context, </w:t>
      </w:r>
      <w:r w:rsidR="00AE5957">
        <w:rPr>
          <w:rFonts w:asciiTheme="majorBidi" w:eastAsia="Times New Roman" w:hAnsiTheme="majorBidi" w:cstheme="majorBidi"/>
          <w:shd w:val="clear" w:color="auto" w:fill="FFFFFF"/>
        </w:rPr>
        <w:lastRenderedPageBreak/>
        <w:t>reveals the deeper interests of the parties involved; is restitution truly in the best interest of the dominant party?</w:t>
      </w:r>
      <w:r w:rsidR="00AE5957">
        <w:rPr>
          <w:rStyle w:val="FootnoteReference"/>
          <w:rFonts w:asciiTheme="majorBidi" w:eastAsia="Times New Roman" w:hAnsiTheme="majorBidi" w:cstheme="majorBidi"/>
          <w:shd w:val="clear" w:color="auto" w:fill="FFFFFF"/>
        </w:rPr>
        <w:footnoteReference w:id="83"/>
      </w:r>
      <w:r w:rsidR="0076168B">
        <w:rPr>
          <w:rFonts w:asciiTheme="majorBidi" w:eastAsia="Times New Roman" w:hAnsiTheme="majorBidi" w:cstheme="majorBidi"/>
          <w:shd w:val="clear" w:color="auto" w:fill="FFFFFF"/>
        </w:rPr>
        <w:t xml:space="preserve"> Therefore, t</w:t>
      </w:r>
      <w:r w:rsidR="00AE5957">
        <w:rPr>
          <w:rFonts w:asciiTheme="majorBidi" w:eastAsia="Times New Roman" w:hAnsiTheme="majorBidi" w:cstheme="majorBidi"/>
          <w:shd w:val="clear" w:color="auto" w:fill="FFFFFF"/>
        </w:rPr>
        <w:t xml:space="preserve">he </w:t>
      </w:r>
      <w:r w:rsidR="0076168B">
        <w:rPr>
          <w:rFonts w:asciiTheme="majorBidi" w:eastAsia="Times New Roman" w:hAnsiTheme="majorBidi" w:cstheme="majorBidi"/>
          <w:shd w:val="clear" w:color="auto" w:fill="FFFFFF"/>
        </w:rPr>
        <w:t xml:space="preserve">fact that </w:t>
      </w:r>
      <w:r w:rsidR="00AE5957">
        <w:rPr>
          <w:rFonts w:asciiTheme="majorBidi" w:eastAsia="Times New Roman" w:hAnsiTheme="majorBidi" w:cstheme="majorBidi"/>
          <w:shd w:val="clear" w:color="auto" w:fill="FFFFFF"/>
        </w:rPr>
        <w:t xml:space="preserve">U.S. museums sterilize contemporary Italy from their construction of ownership </w:t>
      </w:r>
      <w:r w:rsidR="0076168B">
        <w:rPr>
          <w:rFonts w:asciiTheme="majorBidi" w:eastAsia="Times New Roman" w:hAnsiTheme="majorBidi" w:cstheme="majorBidi"/>
          <w:shd w:val="clear" w:color="auto" w:fill="FFFFFF"/>
        </w:rPr>
        <w:t xml:space="preserve">suggests that U.S. museums are not invested in restitution. This </w:t>
      </w:r>
      <w:r w:rsidR="00AE5957">
        <w:rPr>
          <w:rFonts w:asciiTheme="majorBidi" w:eastAsia="Times New Roman" w:hAnsiTheme="majorBidi" w:cstheme="majorBidi"/>
          <w:shd w:val="clear" w:color="auto" w:fill="FFFFFF"/>
        </w:rPr>
        <w:t xml:space="preserve">draws an important parallel to colonial powers’ circumscription of responsibility by </w:t>
      </w:r>
      <w:r w:rsidR="0076168B">
        <w:rPr>
          <w:rFonts w:asciiTheme="majorBidi" w:eastAsia="Times New Roman" w:hAnsiTheme="majorBidi" w:cstheme="majorBidi"/>
          <w:shd w:val="clear" w:color="auto" w:fill="FFFFFF"/>
        </w:rPr>
        <w:t xml:space="preserve">only considering the </w:t>
      </w:r>
      <w:r w:rsidR="00AE5957">
        <w:rPr>
          <w:rFonts w:asciiTheme="majorBidi" w:eastAsia="Times New Roman" w:hAnsiTheme="majorBidi" w:cstheme="majorBidi"/>
          <w:shd w:val="clear" w:color="auto" w:fill="FFFFFF"/>
        </w:rPr>
        <w:t>historical record of artifacts.</w:t>
      </w:r>
      <w:r w:rsidR="00AE5957">
        <w:rPr>
          <w:rStyle w:val="FootnoteReference"/>
          <w:rFonts w:asciiTheme="majorBidi" w:eastAsia="Times New Roman" w:hAnsiTheme="majorBidi" w:cstheme="majorBidi"/>
          <w:shd w:val="clear" w:color="auto" w:fill="FFFFFF"/>
        </w:rPr>
        <w:footnoteReference w:id="84"/>
      </w:r>
      <w:r w:rsidR="00AE5957">
        <w:rPr>
          <w:rFonts w:asciiTheme="majorBidi" w:eastAsia="Times New Roman" w:hAnsiTheme="majorBidi" w:cstheme="majorBidi"/>
          <w:shd w:val="clear" w:color="auto" w:fill="FFFFFF"/>
        </w:rPr>
        <w:t xml:space="preserve"> As such, policy must consider current international power dynamics</w:t>
      </w:r>
      <w:r w:rsidR="0076168B">
        <w:rPr>
          <w:rFonts w:asciiTheme="majorBidi" w:eastAsia="Times New Roman" w:hAnsiTheme="majorBidi" w:cstheme="majorBidi"/>
          <w:shd w:val="clear" w:color="auto" w:fill="FFFFFF"/>
        </w:rPr>
        <w:t xml:space="preserve"> and the role that economic development has on restitution because global inequality does not just effect post-colonial nations. </w:t>
      </w:r>
    </w:p>
    <w:p w14:paraId="0C9249E6" w14:textId="44C642CD" w:rsidR="002B6184" w:rsidRDefault="00AE5957" w:rsidP="00546870">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Next</w:t>
      </w:r>
      <w:r w:rsidR="004F7E5E">
        <w:rPr>
          <w:rFonts w:asciiTheme="majorBidi" w:eastAsia="Times New Roman" w:hAnsiTheme="majorBidi" w:cstheme="majorBidi"/>
          <w:shd w:val="clear" w:color="auto" w:fill="FFFFFF"/>
        </w:rPr>
        <w:t xml:space="preserve">, </w:t>
      </w:r>
      <w:r w:rsidR="00D42F3F">
        <w:rPr>
          <w:rFonts w:asciiTheme="majorBidi" w:eastAsia="Times New Roman" w:hAnsiTheme="majorBidi" w:cstheme="majorBidi"/>
          <w:shd w:val="clear" w:color="auto" w:fill="FFFFFF"/>
        </w:rPr>
        <w:t xml:space="preserve">Italian and U.S. museums understand the role of transparent provenance differently. </w:t>
      </w:r>
      <w:r w:rsidR="004F7E5E">
        <w:rPr>
          <w:rFonts w:asciiTheme="majorBidi" w:eastAsia="Times New Roman" w:hAnsiTheme="majorBidi" w:cstheme="majorBidi"/>
          <w:shd w:val="clear" w:color="auto" w:fill="FFFFFF"/>
        </w:rPr>
        <w:t>Legal theory provides insight into why this difference may exist: museums or not legally required to be transparent with the provenance of acquisitions.</w:t>
      </w:r>
      <w:r w:rsidR="004F7E5E">
        <w:rPr>
          <w:rStyle w:val="FootnoteReference"/>
          <w:rFonts w:asciiTheme="majorBidi" w:eastAsia="Times New Roman" w:hAnsiTheme="majorBidi" w:cstheme="majorBidi"/>
          <w:shd w:val="clear" w:color="auto" w:fill="FFFFFF"/>
        </w:rPr>
        <w:footnoteReference w:id="85"/>
      </w:r>
      <w:r w:rsidR="004F7E5E">
        <w:rPr>
          <w:rFonts w:asciiTheme="majorBidi" w:eastAsia="Times New Roman" w:hAnsiTheme="majorBidi" w:cstheme="majorBidi"/>
          <w:shd w:val="clear" w:color="auto" w:fill="FFFFFF"/>
        </w:rPr>
        <w:t xml:space="preserve"> This must change. Policy must require that museums publish their acquisition data. </w:t>
      </w:r>
      <w:r w:rsidR="004F7E5E">
        <w:rPr>
          <w:rFonts w:asciiTheme="majorBidi" w:hAnsiTheme="majorBidi" w:cstheme="majorBidi"/>
        </w:rPr>
        <w:t xml:space="preserve">Policy should </w:t>
      </w:r>
      <w:r w:rsidR="004F7E5E">
        <w:rPr>
          <w:rFonts w:asciiTheme="majorBidi" w:eastAsia="Times New Roman" w:hAnsiTheme="majorBidi" w:cstheme="majorBidi"/>
        </w:rPr>
        <w:t xml:space="preserve">also apply post-colonial economic supplements to countries without colonial paths. For example, Italy should impose tax penalties </w:t>
      </w:r>
      <w:r w:rsidR="004F7E5E" w:rsidRPr="007F751A">
        <w:rPr>
          <w:rFonts w:asciiTheme="majorBidi" w:eastAsia="Times New Roman" w:hAnsiTheme="majorBidi" w:cstheme="majorBidi"/>
        </w:rPr>
        <w:t xml:space="preserve">for museums that buy artifacts </w:t>
      </w:r>
      <w:r w:rsidR="004F7E5E">
        <w:rPr>
          <w:rFonts w:asciiTheme="majorBidi" w:eastAsia="Times New Roman" w:hAnsiTheme="majorBidi" w:cstheme="majorBidi"/>
        </w:rPr>
        <w:t xml:space="preserve">with </w:t>
      </w:r>
      <w:r w:rsidR="004F7E5E" w:rsidRPr="007F751A">
        <w:rPr>
          <w:rFonts w:asciiTheme="majorBidi" w:eastAsia="Times New Roman" w:hAnsiTheme="majorBidi" w:cstheme="majorBidi"/>
        </w:rPr>
        <w:t>illegal provenance histories</w:t>
      </w:r>
      <w:r w:rsidR="0076168B">
        <w:rPr>
          <w:rFonts w:asciiTheme="majorBidi" w:eastAsia="Times New Roman" w:hAnsiTheme="majorBidi" w:cstheme="majorBidi"/>
        </w:rPr>
        <w:t>, a</w:t>
      </w:r>
      <w:r w:rsidR="004F7E5E">
        <w:rPr>
          <w:rFonts w:asciiTheme="majorBidi" w:eastAsia="Times New Roman" w:hAnsiTheme="majorBidi" w:cstheme="majorBidi"/>
        </w:rPr>
        <w:t xml:space="preserve"> strategy that many source nations already require</w:t>
      </w:r>
      <w:r w:rsidR="004F7E5E" w:rsidRPr="007F751A">
        <w:rPr>
          <w:rStyle w:val="FootnoteReference"/>
          <w:rFonts w:asciiTheme="majorBidi" w:eastAsia="Times New Roman" w:hAnsiTheme="majorBidi" w:cstheme="majorBidi"/>
        </w:rPr>
        <w:footnoteReference w:id="86"/>
      </w:r>
    </w:p>
    <w:p w14:paraId="2E80B725" w14:textId="056E579B" w:rsidR="002D630A" w:rsidRDefault="00AE5957" w:rsidP="009956D6">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The difference of provenance transparency</w:t>
      </w:r>
      <w:r w:rsidR="002D630A">
        <w:rPr>
          <w:rFonts w:asciiTheme="majorBidi" w:eastAsia="Times New Roman" w:hAnsiTheme="majorBidi" w:cstheme="majorBidi"/>
          <w:shd w:val="clear" w:color="auto" w:fill="FFFFFF"/>
        </w:rPr>
        <w:t xml:space="preserve"> </w:t>
      </w:r>
      <w:r>
        <w:rPr>
          <w:rFonts w:asciiTheme="majorBidi" w:eastAsia="Times New Roman" w:hAnsiTheme="majorBidi" w:cstheme="majorBidi"/>
          <w:shd w:val="clear" w:color="auto" w:fill="FFFFFF"/>
        </w:rPr>
        <w:t>is</w:t>
      </w:r>
      <w:r w:rsidR="002D630A">
        <w:rPr>
          <w:rFonts w:asciiTheme="majorBidi" w:eastAsia="Times New Roman" w:hAnsiTheme="majorBidi" w:cstheme="majorBidi"/>
          <w:shd w:val="clear" w:color="auto" w:fill="FFFFFF"/>
        </w:rPr>
        <w:t xml:space="preserve"> </w:t>
      </w:r>
      <w:r w:rsidR="00233B1E">
        <w:rPr>
          <w:rFonts w:asciiTheme="majorBidi" w:eastAsia="Times New Roman" w:hAnsiTheme="majorBidi" w:cstheme="majorBidi"/>
          <w:shd w:val="clear" w:color="auto" w:fill="FFFFFF"/>
        </w:rPr>
        <w:t>pyridoxal</w:t>
      </w:r>
      <w:r w:rsidR="002D630A">
        <w:rPr>
          <w:rFonts w:asciiTheme="majorBidi" w:eastAsia="Times New Roman" w:hAnsiTheme="majorBidi" w:cstheme="majorBidi"/>
          <w:shd w:val="clear" w:color="auto" w:fill="FFFFFF"/>
        </w:rPr>
        <w:t xml:space="preserve"> because</w:t>
      </w:r>
      <w:r w:rsidR="00F17BD4">
        <w:rPr>
          <w:rFonts w:asciiTheme="majorBidi" w:eastAsia="Times New Roman" w:hAnsiTheme="majorBidi" w:cstheme="majorBidi"/>
          <w:shd w:val="clear" w:color="auto" w:fill="FFFFFF"/>
        </w:rPr>
        <w:t xml:space="preserve"> legal</w:t>
      </w:r>
      <w:r w:rsidR="002D630A">
        <w:rPr>
          <w:rFonts w:asciiTheme="majorBidi" w:eastAsia="Times New Roman" w:hAnsiTheme="majorBidi" w:cstheme="majorBidi"/>
          <w:shd w:val="clear" w:color="auto" w:fill="FFFFFF"/>
        </w:rPr>
        <w:t xml:space="preserve"> literature suggests that museums with illicit or suspicious artifacts </w:t>
      </w:r>
      <w:r>
        <w:rPr>
          <w:rFonts w:asciiTheme="majorBidi" w:eastAsia="Times New Roman" w:hAnsiTheme="majorBidi" w:cstheme="majorBidi"/>
          <w:shd w:val="clear" w:color="auto" w:fill="FFFFFF"/>
        </w:rPr>
        <w:t>do</w:t>
      </w:r>
      <w:r w:rsidR="002D630A">
        <w:rPr>
          <w:rFonts w:asciiTheme="majorBidi" w:eastAsia="Times New Roman" w:hAnsiTheme="majorBidi" w:cstheme="majorBidi"/>
          <w:shd w:val="clear" w:color="auto" w:fill="FFFFFF"/>
        </w:rPr>
        <w:t xml:space="preserve"> not publish provenance.</w:t>
      </w:r>
      <w:r w:rsidR="002D630A">
        <w:rPr>
          <w:rStyle w:val="FootnoteReference"/>
          <w:rFonts w:asciiTheme="majorBidi" w:eastAsia="Times New Roman" w:hAnsiTheme="majorBidi" w:cstheme="majorBidi"/>
          <w:shd w:val="clear" w:color="auto" w:fill="FFFFFF"/>
        </w:rPr>
        <w:footnoteReference w:id="87"/>
      </w:r>
      <w:r w:rsidR="002D630A">
        <w:rPr>
          <w:rFonts w:asciiTheme="majorBidi" w:eastAsia="Times New Roman" w:hAnsiTheme="majorBidi" w:cstheme="majorBidi"/>
          <w:shd w:val="clear" w:color="auto" w:fill="FFFFFF"/>
        </w:rPr>
        <w:t xml:space="preserve"> This paper, however, finds that it is U.S. museums that are transparent with provenance and not Italian museums. </w:t>
      </w:r>
      <w:r w:rsidR="00577E95">
        <w:rPr>
          <w:rFonts w:asciiTheme="majorBidi" w:eastAsia="Times New Roman" w:hAnsiTheme="majorBidi" w:cstheme="majorBidi"/>
          <w:shd w:val="clear" w:color="auto" w:fill="FFFFFF"/>
        </w:rPr>
        <w:t>Italian museums</w:t>
      </w:r>
      <w:r w:rsidR="002D630A">
        <w:rPr>
          <w:rFonts w:asciiTheme="majorBidi" w:eastAsia="Times New Roman" w:hAnsiTheme="majorBidi" w:cstheme="majorBidi"/>
          <w:shd w:val="clear" w:color="auto" w:fill="FFFFFF"/>
        </w:rPr>
        <w:t>’</w:t>
      </w:r>
      <w:r w:rsidR="00577E95">
        <w:rPr>
          <w:rFonts w:asciiTheme="majorBidi" w:eastAsia="Times New Roman" w:hAnsiTheme="majorBidi" w:cstheme="majorBidi"/>
          <w:shd w:val="clear" w:color="auto" w:fill="FFFFFF"/>
        </w:rPr>
        <w:t xml:space="preserve"> </w:t>
      </w:r>
      <w:r w:rsidR="002D630A">
        <w:rPr>
          <w:rFonts w:asciiTheme="majorBidi" w:eastAsia="Times New Roman" w:hAnsiTheme="majorBidi" w:cstheme="majorBidi"/>
          <w:shd w:val="clear" w:color="auto" w:fill="FFFFFF"/>
        </w:rPr>
        <w:t>exclusion of</w:t>
      </w:r>
      <w:r w:rsidR="00577E95">
        <w:rPr>
          <w:rFonts w:asciiTheme="majorBidi" w:eastAsia="Times New Roman" w:hAnsiTheme="majorBidi" w:cstheme="majorBidi"/>
          <w:shd w:val="clear" w:color="auto" w:fill="FFFFFF"/>
        </w:rPr>
        <w:t xml:space="preserve"> provenance </w:t>
      </w:r>
      <w:r w:rsidR="002D630A">
        <w:rPr>
          <w:rFonts w:asciiTheme="majorBidi" w:eastAsia="Times New Roman" w:hAnsiTheme="majorBidi" w:cstheme="majorBidi"/>
          <w:shd w:val="clear" w:color="auto" w:fill="FFFFFF"/>
        </w:rPr>
        <w:t>is counterintuitive</w:t>
      </w:r>
      <w:r w:rsidR="00E413B3">
        <w:rPr>
          <w:rFonts w:asciiTheme="majorBidi" w:eastAsia="Times New Roman" w:hAnsiTheme="majorBidi" w:cstheme="majorBidi"/>
          <w:shd w:val="clear" w:color="auto" w:fill="FFFFFF"/>
        </w:rPr>
        <w:t xml:space="preserve"> because l</w:t>
      </w:r>
      <w:r w:rsidR="00577E95">
        <w:rPr>
          <w:rFonts w:asciiTheme="majorBidi" w:eastAsia="Times New Roman" w:hAnsiTheme="majorBidi" w:cstheme="majorBidi"/>
          <w:shd w:val="clear" w:color="auto" w:fill="FFFFFF"/>
        </w:rPr>
        <w:t xml:space="preserve">egal theorists such as Amineddoleh and Mackenzie </w:t>
      </w:r>
      <w:r w:rsidR="002D630A">
        <w:rPr>
          <w:rFonts w:asciiTheme="majorBidi" w:eastAsia="Times New Roman" w:hAnsiTheme="majorBidi" w:cstheme="majorBidi"/>
          <w:shd w:val="clear" w:color="auto" w:fill="FFFFFF"/>
        </w:rPr>
        <w:t>argue that</w:t>
      </w:r>
      <w:r w:rsidR="00577E95">
        <w:rPr>
          <w:rFonts w:asciiTheme="majorBidi" w:eastAsia="Times New Roman" w:hAnsiTheme="majorBidi" w:cstheme="majorBidi"/>
          <w:shd w:val="clear" w:color="auto" w:fill="FFFFFF"/>
        </w:rPr>
        <w:t xml:space="preserve"> provenance </w:t>
      </w:r>
      <w:r w:rsidR="002D630A">
        <w:rPr>
          <w:rFonts w:asciiTheme="majorBidi" w:eastAsia="Times New Roman" w:hAnsiTheme="majorBidi" w:cstheme="majorBidi"/>
          <w:shd w:val="clear" w:color="auto" w:fill="FFFFFF"/>
        </w:rPr>
        <w:t>is</w:t>
      </w:r>
      <w:r w:rsidR="00577E95">
        <w:rPr>
          <w:rFonts w:asciiTheme="majorBidi" w:eastAsia="Times New Roman" w:hAnsiTheme="majorBidi" w:cstheme="majorBidi"/>
          <w:shd w:val="clear" w:color="auto" w:fill="FFFFFF"/>
        </w:rPr>
        <w:t xml:space="preserve"> the legal tool to prove standing in legal courts</w:t>
      </w:r>
      <w:r w:rsidR="002261FA">
        <w:rPr>
          <w:rFonts w:asciiTheme="majorBidi" w:eastAsia="Times New Roman" w:hAnsiTheme="majorBidi" w:cstheme="majorBidi"/>
          <w:shd w:val="clear" w:color="auto" w:fill="FFFFFF"/>
        </w:rPr>
        <w:t>.</w:t>
      </w:r>
      <w:r w:rsidR="002261FA">
        <w:rPr>
          <w:rStyle w:val="FootnoteReference"/>
          <w:rFonts w:asciiTheme="majorBidi" w:eastAsia="Times New Roman" w:hAnsiTheme="majorBidi" w:cstheme="majorBidi"/>
          <w:shd w:val="clear" w:color="auto" w:fill="FFFFFF"/>
        </w:rPr>
        <w:footnoteReference w:id="88"/>
      </w:r>
      <w:r w:rsidR="00577E95">
        <w:rPr>
          <w:rFonts w:asciiTheme="majorBidi" w:eastAsia="Times New Roman" w:hAnsiTheme="majorBidi" w:cstheme="majorBidi"/>
          <w:shd w:val="clear" w:color="auto" w:fill="FFFFFF"/>
        </w:rPr>
        <w:t xml:space="preserve"> </w:t>
      </w:r>
      <w:r w:rsidR="002261FA">
        <w:rPr>
          <w:rFonts w:asciiTheme="majorBidi" w:eastAsia="Times New Roman" w:hAnsiTheme="majorBidi" w:cstheme="majorBidi"/>
          <w:shd w:val="clear" w:color="auto" w:fill="FFFFFF"/>
        </w:rPr>
        <w:t xml:space="preserve">As such, it would logically be in the best interest of Italian museums to publish </w:t>
      </w:r>
      <w:r w:rsidR="002261FA">
        <w:rPr>
          <w:rFonts w:asciiTheme="majorBidi" w:eastAsia="Times New Roman" w:hAnsiTheme="majorBidi" w:cstheme="majorBidi"/>
          <w:shd w:val="clear" w:color="auto" w:fill="FFFFFF"/>
        </w:rPr>
        <w:lastRenderedPageBreak/>
        <w:t xml:space="preserve">their provenance so that they could increase </w:t>
      </w:r>
      <w:r w:rsidR="00577E95">
        <w:rPr>
          <w:rFonts w:asciiTheme="majorBidi" w:eastAsia="Times New Roman" w:hAnsiTheme="majorBidi" w:cstheme="majorBidi"/>
          <w:shd w:val="clear" w:color="auto" w:fill="FFFFFF"/>
        </w:rPr>
        <w:t>Italy’s low rate of restitution</w:t>
      </w:r>
      <w:r w:rsidR="002261FA">
        <w:rPr>
          <w:rFonts w:asciiTheme="majorBidi" w:eastAsia="Times New Roman" w:hAnsiTheme="majorBidi" w:cstheme="majorBidi"/>
          <w:shd w:val="clear" w:color="auto" w:fill="FFFFFF"/>
        </w:rPr>
        <w:t>.</w:t>
      </w:r>
      <w:r w:rsidR="002261FA">
        <w:rPr>
          <w:rStyle w:val="FootnoteReference"/>
          <w:rFonts w:asciiTheme="majorBidi" w:eastAsia="Times New Roman" w:hAnsiTheme="majorBidi" w:cstheme="majorBidi"/>
          <w:shd w:val="clear" w:color="auto" w:fill="FFFFFF"/>
        </w:rPr>
        <w:footnoteReference w:id="89"/>
      </w:r>
      <w:r w:rsidR="002261FA">
        <w:rPr>
          <w:rFonts w:asciiTheme="majorBidi" w:eastAsia="Times New Roman" w:hAnsiTheme="majorBidi" w:cstheme="majorBidi"/>
          <w:shd w:val="clear" w:color="auto" w:fill="FFFFFF"/>
        </w:rPr>
        <w:t xml:space="preserve"> </w:t>
      </w:r>
      <w:r w:rsidR="002D630A">
        <w:rPr>
          <w:rFonts w:asciiTheme="majorBidi" w:eastAsia="Times New Roman" w:hAnsiTheme="majorBidi" w:cstheme="majorBidi"/>
          <w:shd w:val="clear" w:color="auto" w:fill="FFFFFF"/>
        </w:rPr>
        <w:t>In fact, the absence of provenance is considered acknowledgement of illicit origin.</w:t>
      </w:r>
      <w:r w:rsidR="002D630A">
        <w:rPr>
          <w:rStyle w:val="FootnoteReference"/>
          <w:rFonts w:asciiTheme="majorBidi" w:eastAsia="Times New Roman" w:hAnsiTheme="majorBidi" w:cstheme="majorBidi"/>
          <w:shd w:val="clear" w:color="auto" w:fill="FFFFFF"/>
        </w:rPr>
        <w:footnoteReference w:id="90"/>
      </w:r>
      <w:r w:rsidR="00924D30">
        <w:rPr>
          <w:rFonts w:asciiTheme="majorBidi" w:eastAsia="Times New Roman" w:hAnsiTheme="majorBidi" w:cstheme="majorBidi"/>
          <w:shd w:val="clear" w:color="auto" w:fill="FFFFFF"/>
        </w:rPr>
        <w:t xml:space="preserve"> As such, </w:t>
      </w:r>
      <w:r w:rsidR="00F17BD4">
        <w:rPr>
          <w:rFonts w:asciiTheme="majorBidi" w:eastAsia="Times New Roman" w:hAnsiTheme="majorBidi" w:cstheme="majorBidi"/>
          <w:shd w:val="clear" w:color="auto" w:fill="FFFFFF"/>
        </w:rPr>
        <w:t>Italy stands as a challenge to existing legal literature and the fundamental assumptions of restitution. This case also stands as an exemplar that the international court system is overly dependent on Western application of numerical data to ownership. Policy, therefore, must consider other indicators of ownership</w:t>
      </w:r>
      <w:r w:rsidR="009956D6">
        <w:rPr>
          <w:rFonts w:asciiTheme="majorBidi" w:eastAsia="Times New Roman" w:hAnsiTheme="majorBidi" w:cstheme="majorBidi"/>
          <w:shd w:val="clear" w:color="auto" w:fill="FFFFFF"/>
        </w:rPr>
        <w:t>,</w:t>
      </w:r>
      <w:r w:rsidR="00F17BD4">
        <w:rPr>
          <w:rFonts w:asciiTheme="majorBidi" w:eastAsia="Times New Roman" w:hAnsiTheme="majorBidi" w:cstheme="majorBidi"/>
          <w:shd w:val="clear" w:color="auto" w:fill="FFFFFF"/>
        </w:rPr>
        <w:t xml:space="preserve"> such as temporal markers</w:t>
      </w:r>
      <w:r w:rsidR="009956D6">
        <w:rPr>
          <w:rFonts w:asciiTheme="majorBidi" w:eastAsia="Times New Roman" w:hAnsiTheme="majorBidi" w:cstheme="majorBidi"/>
          <w:shd w:val="clear" w:color="auto" w:fill="FFFFFF"/>
        </w:rPr>
        <w:t>,</w:t>
      </w:r>
      <w:r w:rsidR="00F17BD4">
        <w:rPr>
          <w:rFonts w:asciiTheme="majorBidi" w:eastAsia="Times New Roman" w:hAnsiTheme="majorBidi" w:cstheme="majorBidi"/>
          <w:shd w:val="clear" w:color="auto" w:fill="FFFFFF"/>
        </w:rPr>
        <w:t xml:space="preserve"> so that</w:t>
      </w:r>
      <w:r w:rsidR="009956D6">
        <w:rPr>
          <w:rFonts w:asciiTheme="majorBidi" w:eastAsia="Times New Roman" w:hAnsiTheme="majorBidi" w:cstheme="majorBidi"/>
          <w:shd w:val="clear" w:color="auto" w:fill="FFFFFF"/>
        </w:rPr>
        <w:t xml:space="preserve"> restitution is available to a diversified group of nations and not just nations familiar with Western legal norms.</w:t>
      </w:r>
    </w:p>
    <w:p w14:paraId="6307B464" w14:textId="5F6EEC2A" w:rsidR="00CE420E" w:rsidRDefault="00CE420E" w:rsidP="0023408A">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These three conclusions</w:t>
      </w:r>
      <w:r w:rsidR="00B17432">
        <w:rPr>
          <w:rFonts w:asciiTheme="majorBidi" w:eastAsia="Times New Roman" w:hAnsiTheme="majorBidi" w:cstheme="majorBidi"/>
          <w:shd w:val="clear" w:color="auto" w:fill="FFFFFF"/>
        </w:rPr>
        <w:t>, alon</w:t>
      </w:r>
      <w:r w:rsidR="00111573">
        <w:rPr>
          <w:rFonts w:asciiTheme="majorBidi" w:eastAsia="Times New Roman" w:hAnsiTheme="majorBidi" w:cstheme="majorBidi"/>
          <w:shd w:val="clear" w:color="auto" w:fill="FFFFFF"/>
        </w:rPr>
        <w:t>g with their resulting paradox</w:t>
      </w:r>
      <w:r w:rsidR="00B17432">
        <w:rPr>
          <w:rFonts w:asciiTheme="majorBidi" w:eastAsia="Times New Roman" w:hAnsiTheme="majorBidi" w:cstheme="majorBidi"/>
          <w:shd w:val="clear" w:color="auto" w:fill="FFFFFF"/>
        </w:rPr>
        <w:t xml:space="preserve">, </w:t>
      </w:r>
      <w:r w:rsidR="0023408A">
        <w:rPr>
          <w:rFonts w:asciiTheme="majorBidi" w:eastAsia="Times New Roman" w:hAnsiTheme="majorBidi" w:cstheme="majorBidi"/>
          <w:shd w:val="clear" w:color="auto" w:fill="FFFFFF"/>
        </w:rPr>
        <w:t xml:space="preserve">offer deeper understanding regarding </w:t>
      </w:r>
      <w:r>
        <w:rPr>
          <w:rFonts w:asciiTheme="majorBidi" w:eastAsia="Times New Roman" w:hAnsiTheme="majorBidi" w:cstheme="majorBidi"/>
          <w:shd w:val="clear" w:color="auto" w:fill="FFFFFF"/>
        </w:rPr>
        <w:t xml:space="preserve">the dilemma of Italian artifact restitution. </w:t>
      </w:r>
      <w:r w:rsidR="0023408A">
        <w:rPr>
          <w:rFonts w:asciiTheme="majorBidi" w:eastAsia="Times New Roman" w:hAnsiTheme="majorBidi" w:cstheme="majorBidi"/>
          <w:shd w:val="clear" w:color="auto" w:fill="FFFFFF"/>
        </w:rPr>
        <w:t>Differences in the use of visual context by museums indicate that there is a fundamental difference about the role temporal markers play on the meaning-making process that frame ownership. In fact, visual context suggests that U.S. museums are not invested in restitution. However, th</w:t>
      </w:r>
      <w:r>
        <w:rPr>
          <w:rFonts w:asciiTheme="majorBidi" w:eastAsia="Times New Roman" w:hAnsiTheme="majorBidi" w:cstheme="majorBidi"/>
          <w:shd w:val="clear" w:color="auto" w:fill="FFFFFF"/>
        </w:rPr>
        <w:t xml:space="preserve">e fact that Italian museums excluded provenance </w:t>
      </w:r>
      <w:r w:rsidR="00702F3D">
        <w:rPr>
          <w:rFonts w:asciiTheme="majorBidi" w:eastAsia="Times New Roman" w:hAnsiTheme="majorBidi" w:cstheme="majorBidi"/>
          <w:shd w:val="clear" w:color="auto" w:fill="FFFFFF"/>
        </w:rPr>
        <w:t>information</w:t>
      </w:r>
      <w:r w:rsidR="0023408A">
        <w:rPr>
          <w:rFonts w:asciiTheme="majorBidi" w:eastAsia="Times New Roman" w:hAnsiTheme="majorBidi" w:cstheme="majorBidi"/>
          <w:shd w:val="clear" w:color="auto" w:fill="FFFFFF"/>
        </w:rPr>
        <w:t xml:space="preserve"> suggests, when current legal assumptions are applied, that Italian museums are also not invested in restitution. </w:t>
      </w:r>
      <w:r>
        <w:rPr>
          <w:rFonts w:asciiTheme="majorBidi" w:eastAsia="Times New Roman" w:hAnsiTheme="majorBidi" w:cstheme="majorBidi"/>
          <w:shd w:val="clear" w:color="auto" w:fill="FFFFFF"/>
        </w:rPr>
        <w:t>Finally, discourses from taskforces present hopeful levels of shared understanding of ownership and dedication to international cooperation. The exclusion of museums from this call for cooperation confirms that there is a serious difference in understanding of ownership between museums and taskforces, one that continues to hinder restitution efforts.</w:t>
      </w:r>
    </w:p>
    <w:p w14:paraId="26C0F845" w14:textId="4E9931FF" w:rsidR="00BE7BB7" w:rsidRPr="00BE7BB7" w:rsidRDefault="00BE7BB7" w:rsidP="009956D6">
      <w:pPr>
        <w:spacing w:line="480" w:lineRule="auto"/>
        <w:ind w:firstLine="720"/>
        <w:rPr>
          <w:rFonts w:asciiTheme="majorBidi" w:hAnsiTheme="majorBidi" w:cstheme="majorBidi"/>
        </w:rPr>
      </w:pPr>
      <w:r>
        <w:rPr>
          <w:rFonts w:asciiTheme="majorBidi" w:hAnsiTheme="majorBidi" w:cstheme="majorBidi"/>
        </w:rPr>
        <w:t xml:space="preserve">It is important to note that, regardless of the steps employed to ensure trustworthiness, there are possible alternate interpretations to the following findings. For instance, one could argue that museums and taskforces do not create shared meanings because there is no established </w:t>
      </w:r>
      <w:r>
        <w:rPr>
          <w:rFonts w:asciiTheme="majorBidi" w:hAnsiTheme="majorBidi" w:cstheme="majorBidi"/>
        </w:rPr>
        <w:lastRenderedPageBreak/>
        <w:t>interest for their interaction. Museums are not legally required to publish acquisitions and taskforces do not try to engage them. Another interpretation could explain visual context by noting that there are established norms for individual museums in terms of taking photographs; museums take photos with neutral backdrops across the world so that visitors may clearly observe the artifacts. Any lack of context could be attributed as unintentional.</w:t>
      </w:r>
    </w:p>
    <w:p w14:paraId="03C67EBC" w14:textId="77777777" w:rsidR="00DD568A" w:rsidRDefault="00DD568A" w:rsidP="009956D6">
      <w:pPr>
        <w:spacing w:line="480" w:lineRule="auto"/>
        <w:rPr>
          <w:rFonts w:asciiTheme="majorBidi" w:hAnsiTheme="majorBidi" w:cstheme="majorBidi"/>
          <w:b/>
          <w:bCs/>
        </w:rPr>
      </w:pPr>
    </w:p>
    <w:p w14:paraId="76BC1DD5" w14:textId="508F6D88" w:rsidR="009D7745" w:rsidRPr="00F91D0A" w:rsidRDefault="00C23823" w:rsidP="009956D6">
      <w:pPr>
        <w:spacing w:line="480" w:lineRule="auto"/>
        <w:rPr>
          <w:rFonts w:asciiTheme="majorBidi" w:eastAsia="Times New Roman" w:hAnsiTheme="majorBidi" w:cstheme="majorBidi"/>
          <w:b/>
          <w:bCs/>
          <w:shd w:val="clear" w:color="auto" w:fill="FFFFFF"/>
        </w:rPr>
      </w:pPr>
      <w:r w:rsidRPr="00C23823">
        <w:rPr>
          <w:rFonts w:asciiTheme="majorBidi" w:hAnsiTheme="majorBidi" w:cstheme="majorBidi"/>
          <w:b/>
          <w:bCs/>
        </w:rPr>
        <w:t xml:space="preserve">Conclusion </w:t>
      </w:r>
    </w:p>
    <w:p w14:paraId="5D788AFB" w14:textId="31F0AF6C" w:rsidR="008F6E1B" w:rsidRDefault="002E1F63" w:rsidP="005D45CB">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There</w:t>
      </w:r>
      <w:r w:rsidR="00CE420E" w:rsidRPr="001C376E">
        <w:rPr>
          <w:rFonts w:asciiTheme="majorBidi" w:eastAsia="Times New Roman" w:hAnsiTheme="majorBidi" w:cstheme="majorBidi"/>
          <w:shd w:val="clear" w:color="auto" w:fill="FFFFFF"/>
        </w:rPr>
        <w:t xml:space="preserve"> are numerous similarities and differences between museum discourses and restitution taskforce discourses concerning ownership</w:t>
      </w:r>
      <w:r w:rsidR="00CE420E">
        <w:rPr>
          <w:rFonts w:asciiTheme="majorBidi" w:eastAsia="Times New Roman" w:hAnsiTheme="majorBidi" w:cstheme="majorBidi"/>
          <w:shd w:val="clear" w:color="auto" w:fill="FFFFFF"/>
        </w:rPr>
        <w:t xml:space="preserve">, exemplified </w:t>
      </w:r>
      <w:r w:rsidR="009D7745">
        <w:rPr>
          <w:rFonts w:asciiTheme="majorBidi" w:eastAsia="Times New Roman" w:hAnsiTheme="majorBidi" w:cstheme="majorBidi"/>
          <w:shd w:val="clear" w:color="auto" w:fill="FFFFFF"/>
        </w:rPr>
        <w:t>by their use of</w:t>
      </w:r>
      <w:r w:rsidR="00CE420E">
        <w:rPr>
          <w:rFonts w:asciiTheme="majorBidi" w:eastAsia="Times New Roman" w:hAnsiTheme="majorBidi" w:cstheme="majorBidi"/>
          <w:shd w:val="clear" w:color="auto" w:fill="FFFFFF"/>
        </w:rPr>
        <w:t xml:space="preserve"> temporal indicators, provenance transparency, and visual contextualization</w:t>
      </w:r>
      <w:r w:rsidR="00CE420E" w:rsidRPr="001C376E">
        <w:rPr>
          <w:rFonts w:asciiTheme="majorBidi" w:eastAsia="Times New Roman" w:hAnsiTheme="majorBidi" w:cstheme="majorBidi"/>
          <w:shd w:val="clear" w:color="auto" w:fill="FFFFFF"/>
        </w:rPr>
        <w:t xml:space="preserve">. However, any connected meaning making between these two groups of actors is effectively nonexistent. </w:t>
      </w:r>
      <w:r w:rsidR="00CE420E">
        <w:rPr>
          <w:rFonts w:asciiTheme="majorBidi" w:eastAsia="Times New Roman" w:hAnsiTheme="majorBidi" w:cstheme="majorBidi"/>
          <w:shd w:val="clear" w:color="auto" w:fill="FFFFFF"/>
        </w:rPr>
        <w:t>This disconnect calls into question the effectiveness of international legal apparatuses.</w:t>
      </w:r>
      <w:r w:rsidR="0022244A">
        <w:rPr>
          <w:rFonts w:asciiTheme="majorBidi" w:eastAsia="Times New Roman" w:hAnsiTheme="majorBidi" w:cstheme="majorBidi"/>
          <w:shd w:val="clear" w:color="auto" w:fill="FFFFFF"/>
        </w:rPr>
        <w:t xml:space="preserve"> </w:t>
      </w:r>
    </w:p>
    <w:p w14:paraId="47B6AE66" w14:textId="59299BBC" w:rsidR="00B97009" w:rsidRDefault="008F6E1B" w:rsidP="005D45CB">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The</w:t>
      </w:r>
      <w:r w:rsidR="00B97009">
        <w:rPr>
          <w:rFonts w:asciiTheme="majorBidi" w:eastAsia="Times New Roman" w:hAnsiTheme="majorBidi" w:cstheme="majorBidi"/>
          <w:shd w:val="clear" w:color="auto" w:fill="FFFFFF"/>
        </w:rPr>
        <w:t xml:space="preserve"> case of the U.S. and Italy </w:t>
      </w:r>
      <w:r>
        <w:rPr>
          <w:rFonts w:asciiTheme="majorBidi" w:eastAsia="Times New Roman" w:hAnsiTheme="majorBidi" w:cstheme="majorBidi"/>
          <w:shd w:val="clear" w:color="auto" w:fill="FFFFFF"/>
        </w:rPr>
        <w:t>lends explanation to why legal apparatuses for restitution is weak. The findings in this paper suggest</w:t>
      </w:r>
      <w:r w:rsidR="00B97009">
        <w:rPr>
          <w:rFonts w:asciiTheme="majorBidi" w:eastAsia="Times New Roman" w:hAnsiTheme="majorBidi" w:cstheme="majorBidi"/>
          <w:shd w:val="clear" w:color="auto" w:fill="FFFFFF"/>
        </w:rPr>
        <w:t xml:space="preserve"> that current legal assumptions regarding provenance are ineffective due to their reliance on Western legal traditions</w:t>
      </w:r>
      <w:r w:rsidR="005D45CB">
        <w:rPr>
          <w:rFonts w:asciiTheme="majorBidi" w:eastAsia="Times New Roman" w:hAnsiTheme="majorBidi" w:cstheme="majorBidi"/>
          <w:shd w:val="clear" w:color="auto" w:fill="FFFFFF"/>
        </w:rPr>
        <w:t>, identified the use of numerical data over cultural context</w:t>
      </w:r>
      <w:r w:rsidR="00B97009">
        <w:rPr>
          <w:rFonts w:asciiTheme="majorBidi" w:eastAsia="Times New Roman" w:hAnsiTheme="majorBidi" w:cstheme="majorBidi"/>
          <w:shd w:val="clear" w:color="auto" w:fill="FFFFFF"/>
        </w:rPr>
        <w:t>. These assumptions explain that the U.S. museums’ transparency is not due to investment in restitution, but instead, an avoidance of responsibility; U.S. museums use numerical provenance data to hide behind the shield of free enterprise and, thus, defer blame to middle-men such as auction houses.</w:t>
      </w:r>
      <w:r>
        <w:rPr>
          <w:rStyle w:val="FootnoteReference"/>
          <w:rFonts w:asciiTheme="majorBidi" w:eastAsia="Times New Roman" w:hAnsiTheme="majorBidi" w:cstheme="majorBidi"/>
          <w:shd w:val="clear" w:color="auto" w:fill="FFFFFF"/>
        </w:rPr>
        <w:footnoteReference w:id="91"/>
      </w:r>
    </w:p>
    <w:p w14:paraId="2969ED7F" w14:textId="177F0556" w:rsidR="00F91D0A" w:rsidRDefault="00F91D0A" w:rsidP="00412989">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These findings</w:t>
      </w:r>
      <w:r w:rsidR="00620424">
        <w:rPr>
          <w:rFonts w:asciiTheme="majorBidi" w:eastAsia="Times New Roman" w:hAnsiTheme="majorBidi" w:cstheme="majorBidi"/>
          <w:shd w:val="clear" w:color="auto" w:fill="FFFFFF"/>
        </w:rPr>
        <w:t xml:space="preserve"> also</w:t>
      </w:r>
      <w:r>
        <w:rPr>
          <w:rFonts w:asciiTheme="majorBidi" w:eastAsia="Times New Roman" w:hAnsiTheme="majorBidi" w:cstheme="majorBidi"/>
          <w:shd w:val="clear" w:color="auto" w:fill="FFFFFF"/>
        </w:rPr>
        <w:t xml:space="preserve"> matter because they add unique insight into the general failures of the 1970 UNESCO Convention. Specifically, the case of Italian artifact restitution </w:t>
      </w:r>
      <w:r w:rsidR="00244074">
        <w:rPr>
          <w:rFonts w:asciiTheme="majorBidi" w:eastAsia="Times New Roman" w:hAnsiTheme="majorBidi" w:cstheme="majorBidi"/>
          <w:shd w:val="clear" w:color="auto" w:fill="FFFFFF"/>
        </w:rPr>
        <w:t xml:space="preserve">is </w:t>
      </w:r>
      <w:r>
        <w:rPr>
          <w:rFonts w:asciiTheme="majorBidi" w:eastAsia="Times New Roman" w:hAnsiTheme="majorBidi" w:cstheme="majorBidi"/>
          <w:shd w:val="clear" w:color="auto" w:fill="FFFFFF"/>
        </w:rPr>
        <w:t xml:space="preserve">distinctive in the sense that it addresses the role of non-colonial relationships on international restitution </w:t>
      </w:r>
      <w:r>
        <w:rPr>
          <w:rFonts w:asciiTheme="majorBidi" w:eastAsia="Times New Roman" w:hAnsiTheme="majorBidi" w:cstheme="majorBidi"/>
          <w:shd w:val="clear" w:color="auto" w:fill="FFFFFF"/>
        </w:rPr>
        <w:lastRenderedPageBreak/>
        <w:t xml:space="preserve">frameworks. </w:t>
      </w:r>
      <w:r w:rsidR="00244074">
        <w:rPr>
          <w:rFonts w:asciiTheme="majorBidi" w:eastAsia="Times New Roman" w:hAnsiTheme="majorBidi" w:cstheme="majorBidi"/>
          <w:shd w:val="clear" w:color="auto" w:fill="FFFFFF"/>
        </w:rPr>
        <w:t xml:space="preserve">And the findings are puzzling since the source country, Italy, has conflicting representations of ownership and its interest in restitution. </w:t>
      </w:r>
      <w:r w:rsidR="00412989">
        <w:rPr>
          <w:rFonts w:asciiTheme="majorBidi" w:eastAsia="Times New Roman" w:hAnsiTheme="majorBidi" w:cstheme="majorBidi"/>
          <w:shd w:val="clear" w:color="auto" w:fill="FFFFFF"/>
        </w:rPr>
        <w:t>In contrast</w:t>
      </w:r>
      <w:r w:rsidR="00244074">
        <w:rPr>
          <w:rFonts w:asciiTheme="majorBidi" w:eastAsia="Times New Roman" w:hAnsiTheme="majorBidi" w:cstheme="majorBidi"/>
          <w:shd w:val="clear" w:color="auto" w:fill="FFFFFF"/>
        </w:rPr>
        <w:t xml:space="preserve">, the United States </w:t>
      </w:r>
      <w:r w:rsidR="00412989">
        <w:rPr>
          <w:rFonts w:asciiTheme="majorBidi" w:eastAsia="Times New Roman" w:hAnsiTheme="majorBidi" w:cstheme="majorBidi"/>
          <w:shd w:val="clear" w:color="auto" w:fill="FFFFFF"/>
        </w:rPr>
        <w:t>is very transparent with</w:t>
      </w:r>
      <w:r w:rsidR="00244074">
        <w:rPr>
          <w:rFonts w:asciiTheme="majorBidi" w:eastAsia="Times New Roman" w:hAnsiTheme="majorBidi" w:cstheme="majorBidi"/>
          <w:shd w:val="clear" w:color="auto" w:fill="FFFFFF"/>
        </w:rPr>
        <w:t xml:space="preserve"> provenance</w:t>
      </w:r>
      <w:r w:rsidR="00412989">
        <w:rPr>
          <w:rFonts w:asciiTheme="majorBidi" w:eastAsia="Times New Roman" w:hAnsiTheme="majorBidi" w:cstheme="majorBidi"/>
          <w:shd w:val="clear" w:color="auto" w:fill="FFFFFF"/>
        </w:rPr>
        <w:t>,</w:t>
      </w:r>
      <w:r w:rsidR="00244074">
        <w:rPr>
          <w:rFonts w:asciiTheme="majorBidi" w:eastAsia="Times New Roman" w:hAnsiTheme="majorBidi" w:cstheme="majorBidi"/>
          <w:shd w:val="clear" w:color="auto" w:fill="FFFFFF"/>
        </w:rPr>
        <w:t xml:space="preserve"> even though it has almost no current restitution claims abroad. </w:t>
      </w:r>
    </w:p>
    <w:p w14:paraId="7EFC6A56" w14:textId="2C4862D9" w:rsidR="00620424" w:rsidRPr="009C2B23" w:rsidRDefault="00620424" w:rsidP="005D45CB">
      <w:pPr>
        <w:spacing w:line="480" w:lineRule="auto"/>
        <w:ind w:firstLine="720"/>
        <w:rPr>
          <w:rFonts w:asciiTheme="majorBidi" w:eastAsia="Times New Roman" w:hAnsiTheme="majorBidi" w:cstheme="majorBidi"/>
          <w:shd w:val="clear" w:color="auto" w:fill="FFFFFF"/>
        </w:rPr>
      </w:pPr>
      <w:r>
        <w:rPr>
          <w:rFonts w:asciiTheme="majorBidi" w:eastAsia="Times New Roman" w:hAnsiTheme="majorBidi" w:cstheme="majorBidi"/>
          <w:shd w:val="clear" w:color="auto" w:fill="FFFFFF"/>
        </w:rPr>
        <w:t>Finally, the absence of museums from taskforce collaboration also critiques the effectiveness of bilateral agreements. Taskforces and museums are charged with cooperation in the U.S.-Italian bilateral agreement.</w:t>
      </w:r>
      <w:r w:rsidR="00F46A9C">
        <w:rPr>
          <w:rStyle w:val="FootnoteReference"/>
          <w:rFonts w:asciiTheme="majorBidi" w:eastAsia="Times New Roman" w:hAnsiTheme="majorBidi" w:cstheme="majorBidi"/>
          <w:shd w:val="clear" w:color="auto" w:fill="FFFFFF"/>
        </w:rPr>
        <w:footnoteReference w:id="92"/>
      </w:r>
      <w:r>
        <w:rPr>
          <w:rFonts w:asciiTheme="majorBidi" w:eastAsia="Times New Roman" w:hAnsiTheme="majorBidi" w:cstheme="majorBidi"/>
          <w:shd w:val="clear" w:color="auto" w:fill="FFFFFF"/>
        </w:rPr>
        <w:t xml:space="preserve"> Therefore, why do the two parties not cooperate</w:t>
      </w:r>
      <w:r w:rsidR="0004170C">
        <w:rPr>
          <w:rFonts w:asciiTheme="majorBidi" w:eastAsia="Times New Roman" w:hAnsiTheme="majorBidi" w:cstheme="majorBidi"/>
          <w:shd w:val="clear" w:color="auto" w:fill="FFFFFF"/>
        </w:rPr>
        <w:t xml:space="preserve"> (why are museums not tagged in taskforce Tweets)</w:t>
      </w:r>
      <w:r>
        <w:rPr>
          <w:rFonts w:asciiTheme="majorBidi" w:eastAsia="Times New Roman" w:hAnsiTheme="majorBidi" w:cstheme="majorBidi"/>
          <w:shd w:val="clear" w:color="auto" w:fill="FFFFFF"/>
        </w:rPr>
        <w:t xml:space="preserve">? On the one hand, by focusing on cooperative multilateral repatriation efforts, the taskforces fail to address domestic weaknesses in restitution law. For example, the Carabinieri do not call for policy initiative to force museums to publish provenance data. This identifies a contention between the private and public spheres since the findings in this paper suggest that public institutions are invested in restitution and public spheres are not. As such, public taskforces need to provide economic incentives for restitution, especially considering that current legal literature identifies that </w:t>
      </w:r>
      <w:r w:rsidR="00322FF6">
        <w:rPr>
          <w:rFonts w:asciiTheme="majorBidi" w:eastAsia="Times New Roman" w:hAnsiTheme="majorBidi" w:cstheme="majorBidi"/>
          <w:shd w:val="clear" w:color="auto" w:fill="FFFFFF"/>
        </w:rPr>
        <w:t xml:space="preserve">absence of </w:t>
      </w:r>
      <w:r>
        <w:rPr>
          <w:rFonts w:asciiTheme="majorBidi" w:eastAsia="Times New Roman" w:hAnsiTheme="majorBidi" w:cstheme="majorBidi"/>
          <w:shd w:val="clear" w:color="auto" w:fill="FFFFFF"/>
        </w:rPr>
        <w:t>provenance transparency does not affect the price of artifacts.</w:t>
      </w:r>
      <w:r w:rsidR="003A4424">
        <w:rPr>
          <w:rStyle w:val="FootnoteReference"/>
          <w:rFonts w:asciiTheme="majorBidi" w:eastAsia="Times New Roman" w:hAnsiTheme="majorBidi" w:cstheme="majorBidi"/>
          <w:shd w:val="clear" w:color="auto" w:fill="FFFFFF"/>
        </w:rPr>
        <w:footnoteReference w:id="93"/>
      </w:r>
    </w:p>
    <w:p w14:paraId="0493F4CC" w14:textId="6FA64B46" w:rsidR="00233052" w:rsidRDefault="003A4424" w:rsidP="00877E65">
      <w:pPr>
        <w:spacing w:line="480" w:lineRule="auto"/>
        <w:ind w:firstLine="720"/>
        <w:rPr>
          <w:rFonts w:asciiTheme="majorBidi" w:hAnsiTheme="majorBidi" w:cstheme="majorBidi"/>
        </w:rPr>
      </w:pPr>
      <w:r>
        <w:rPr>
          <w:rFonts w:asciiTheme="majorBidi" w:hAnsiTheme="majorBidi" w:cstheme="majorBidi"/>
        </w:rPr>
        <w:t>W</w:t>
      </w:r>
      <w:r w:rsidR="00CE420E">
        <w:rPr>
          <w:rFonts w:asciiTheme="majorBidi" w:hAnsiTheme="majorBidi" w:cstheme="majorBidi"/>
        </w:rPr>
        <w:t xml:space="preserve">hile these finding shed substantial light on the puzzle of Italian artifact restitution, there is more work to be done. Further research into this topic should include different cases such as British museum and taskforce discourses. Other indicators of ownership should also be explored. For example, </w:t>
      </w:r>
      <w:r w:rsidR="00233052">
        <w:rPr>
          <w:rFonts w:asciiTheme="majorBidi" w:hAnsiTheme="majorBidi" w:cstheme="majorBidi"/>
        </w:rPr>
        <w:t xml:space="preserve">further scholarship should address the paradox discussed in this paper and answer the questions: Why are museums excluded by taskforces from engaging in cooperative restitution measures? Why don’t Italian museums publish provenance data? An important method for developing answers to these questions </w:t>
      </w:r>
      <w:r w:rsidR="00877E65">
        <w:rPr>
          <w:rFonts w:asciiTheme="majorBidi" w:hAnsiTheme="majorBidi" w:cstheme="majorBidi"/>
        </w:rPr>
        <w:t>could be</w:t>
      </w:r>
      <w:r w:rsidR="00233052">
        <w:rPr>
          <w:rFonts w:asciiTheme="majorBidi" w:hAnsiTheme="majorBidi" w:cstheme="majorBidi"/>
        </w:rPr>
        <w:t xml:space="preserve"> the use of intervie</w:t>
      </w:r>
      <w:r w:rsidR="00877E65">
        <w:rPr>
          <w:rFonts w:asciiTheme="majorBidi" w:hAnsiTheme="majorBidi" w:cstheme="majorBidi"/>
        </w:rPr>
        <w:t>ws with museum curators.</w:t>
      </w:r>
    </w:p>
    <w:p w14:paraId="55441B08" w14:textId="77777777" w:rsidR="00A33936" w:rsidRDefault="00A33936" w:rsidP="001E5250">
      <w:pPr>
        <w:ind w:firstLine="720"/>
        <w:rPr>
          <w:rFonts w:asciiTheme="majorBidi" w:hAnsiTheme="majorBidi" w:cstheme="majorBidi"/>
        </w:rPr>
      </w:pPr>
    </w:p>
    <w:p w14:paraId="30CDF107" w14:textId="77777777" w:rsidR="00A33936" w:rsidRDefault="00A33936" w:rsidP="001E5250">
      <w:pPr>
        <w:ind w:firstLine="720"/>
        <w:rPr>
          <w:rFonts w:asciiTheme="majorBidi" w:hAnsiTheme="majorBidi" w:cstheme="majorBidi"/>
        </w:rPr>
      </w:pPr>
    </w:p>
    <w:p w14:paraId="65F77FC6" w14:textId="09ECEE59" w:rsidR="004F5ECE" w:rsidRPr="005D45CB" w:rsidRDefault="002F72B8" w:rsidP="005D45CB">
      <w:pPr>
        <w:jc w:val="center"/>
        <w:rPr>
          <w:rFonts w:asciiTheme="majorBidi" w:eastAsia="Times New Roman" w:hAnsiTheme="majorBidi" w:cstheme="majorBidi"/>
        </w:rPr>
      </w:pPr>
      <w:r>
        <w:rPr>
          <w:rFonts w:asciiTheme="majorBidi" w:hAnsiTheme="majorBidi" w:cstheme="majorBidi"/>
        </w:rPr>
        <w:lastRenderedPageBreak/>
        <w:t>Bibliography</w:t>
      </w:r>
    </w:p>
    <w:p w14:paraId="40F85E1D" w14:textId="77777777" w:rsidR="0097056E" w:rsidRDefault="0097056E" w:rsidP="0097056E">
      <w:pPr>
        <w:pStyle w:val="FootnoteText"/>
        <w:jc w:val="center"/>
        <w:rPr>
          <w:rFonts w:asciiTheme="majorBidi" w:hAnsiTheme="majorBidi" w:cstheme="majorBidi"/>
        </w:rPr>
      </w:pPr>
    </w:p>
    <w:p w14:paraId="649D8FBC" w14:textId="4694F1DA"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Amineddoleh, Leila. "The Role of Museums in the Trade of Black Market Cultural Heritage Property," </w:t>
      </w:r>
      <w:r w:rsidRPr="007F751A">
        <w:rPr>
          <w:rFonts w:asciiTheme="majorBidi" w:hAnsiTheme="majorBidi" w:cstheme="majorBidi"/>
          <w:i/>
          <w:iCs/>
        </w:rPr>
        <w:t>Art, Antiquity &amp; Law</w:t>
      </w:r>
      <w:r w:rsidRPr="007F751A">
        <w:rPr>
          <w:rFonts w:asciiTheme="majorBidi" w:hAnsiTheme="majorBidi" w:cstheme="majorBidi"/>
        </w:rPr>
        <w:t xml:space="preserve"> 18, no. 3 (October 2013), 227-254. </w:t>
      </w:r>
    </w:p>
    <w:p w14:paraId="3F27DF5B" w14:textId="77777777" w:rsidR="00E501BE" w:rsidRDefault="00E501BE" w:rsidP="0097056E">
      <w:pPr>
        <w:rPr>
          <w:rFonts w:asciiTheme="majorBidi" w:hAnsiTheme="majorBidi" w:cstheme="majorBidi"/>
        </w:rPr>
      </w:pPr>
    </w:p>
    <w:p w14:paraId="2AF80812" w14:textId="6BC1BB92" w:rsidR="002F72B8" w:rsidRPr="00366874" w:rsidRDefault="002F72B8" w:rsidP="0097056E">
      <w:pPr>
        <w:rPr>
          <w:rFonts w:asciiTheme="majorBidi" w:hAnsiTheme="majorBidi" w:cstheme="majorBidi"/>
          <w:i/>
          <w:iCs/>
        </w:rPr>
      </w:pPr>
      <w:r w:rsidRPr="00366874">
        <w:rPr>
          <w:rFonts w:asciiTheme="majorBidi" w:hAnsiTheme="majorBidi" w:cstheme="majorBidi"/>
        </w:rPr>
        <w:t xml:space="preserve">Balter, Michael. “University Suppresses Report on Provenance of Iraqi Antiquities,” </w:t>
      </w:r>
      <w:r w:rsidRPr="00366874">
        <w:rPr>
          <w:rFonts w:asciiTheme="majorBidi" w:hAnsiTheme="majorBidi" w:cstheme="majorBidi"/>
          <w:i/>
          <w:iCs/>
        </w:rPr>
        <w:t xml:space="preserve">Science </w:t>
      </w:r>
    </w:p>
    <w:p w14:paraId="085A6758" w14:textId="77777777" w:rsidR="002F72B8" w:rsidRDefault="002F72B8" w:rsidP="0097056E">
      <w:pPr>
        <w:ind w:firstLine="720"/>
        <w:rPr>
          <w:rFonts w:asciiTheme="majorBidi" w:hAnsiTheme="majorBidi" w:cstheme="majorBidi"/>
        </w:rPr>
      </w:pPr>
      <w:r w:rsidRPr="00366874">
        <w:rPr>
          <w:rFonts w:asciiTheme="majorBidi" w:hAnsiTheme="majorBidi" w:cstheme="majorBidi"/>
        </w:rPr>
        <w:t>318, no. 5850 (October 2007), 554-555.</w:t>
      </w:r>
    </w:p>
    <w:p w14:paraId="77B06A91" w14:textId="77777777" w:rsidR="00E501BE" w:rsidRDefault="00E501BE" w:rsidP="00897036">
      <w:pPr>
        <w:rPr>
          <w:rFonts w:asciiTheme="majorBidi" w:hAnsiTheme="majorBidi" w:cstheme="majorBidi"/>
        </w:rPr>
      </w:pPr>
    </w:p>
    <w:p w14:paraId="70658393" w14:textId="11BC5DC5" w:rsidR="00897036" w:rsidRPr="00897036" w:rsidRDefault="00897036" w:rsidP="00897036">
      <w:pPr>
        <w:rPr>
          <w:rFonts w:asciiTheme="majorBidi" w:hAnsiTheme="majorBidi" w:cstheme="majorBidi"/>
        </w:rPr>
      </w:pPr>
      <w:r w:rsidRPr="00897036">
        <w:rPr>
          <w:rFonts w:asciiTheme="majorBidi" w:hAnsiTheme="majorBidi" w:cstheme="majorBidi"/>
        </w:rPr>
        <w:t>Banks</w:t>
      </w:r>
      <w:r>
        <w:rPr>
          <w:rFonts w:asciiTheme="majorBidi" w:hAnsiTheme="majorBidi" w:cstheme="majorBidi"/>
        </w:rPr>
        <w:t xml:space="preserve">, </w:t>
      </w:r>
      <w:r w:rsidRPr="00897036">
        <w:rPr>
          <w:rFonts w:asciiTheme="majorBidi" w:hAnsiTheme="majorBidi" w:cstheme="majorBidi"/>
        </w:rPr>
        <w:t xml:space="preserve">Marcus. </w:t>
      </w:r>
      <w:r w:rsidRPr="00897036">
        <w:rPr>
          <w:rFonts w:asciiTheme="majorBidi" w:hAnsiTheme="majorBidi" w:cstheme="majorBidi"/>
          <w:i/>
          <w:iCs/>
        </w:rPr>
        <w:t>Visual Methods in Social Research</w:t>
      </w:r>
      <w:r w:rsidRPr="00897036">
        <w:rPr>
          <w:rFonts w:asciiTheme="majorBidi" w:hAnsiTheme="majorBidi" w:cstheme="majorBidi"/>
        </w:rPr>
        <w:t>, 1. London: Sage, 2001.</w:t>
      </w:r>
    </w:p>
    <w:p w14:paraId="45F5450C" w14:textId="77777777" w:rsidR="00E501BE" w:rsidRDefault="00E501BE" w:rsidP="00897036">
      <w:pPr>
        <w:rPr>
          <w:rFonts w:asciiTheme="majorBidi" w:hAnsiTheme="majorBidi" w:cstheme="majorBidi"/>
        </w:rPr>
      </w:pPr>
    </w:p>
    <w:p w14:paraId="7905BFC7" w14:textId="77777777" w:rsidR="00897036" w:rsidRDefault="00897036" w:rsidP="00897036">
      <w:pPr>
        <w:rPr>
          <w:rFonts w:asciiTheme="majorBidi" w:hAnsiTheme="majorBidi" w:cstheme="majorBidi"/>
        </w:rPr>
      </w:pPr>
      <w:r w:rsidRPr="00897036">
        <w:rPr>
          <w:rFonts w:asciiTheme="majorBidi" w:hAnsiTheme="majorBidi" w:cstheme="majorBidi"/>
        </w:rPr>
        <w:t xml:space="preserve">Bresner, Katie. "Sharing Identity through Indingenous Tourism: Osoyoos Indian Band's Nk'Mip </w:t>
      </w:r>
    </w:p>
    <w:p w14:paraId="0A4F7D17" w14:textId="6C9B1CFE" w:rsidR="00897036" w:rsidRPr="00897036" w:rsidRDefault="00897036" w:rsidP="00897036">
      <w:pPr>
        <w:ind w:firstLine="720"/>
        <w:rPr>
          <w:rFonts w:asciiTheme="majorBidi" w:hAnsiTheme="majorBidi" w:cstheme="majorBidi"/>
        </w:rPr>
      </w:pPr>
      <w:r w:rsidRPr="00897036">
        <w:rPr>
          <w:rFonts w:asciiTheme="majorBidi" w:hAnsiTheme="majorBidi" w:cstheme="majorBidi"/>
        </w:rPr>
        <w:t xml:space="preserve">Desert Cultural Centre," </w:t>
      </w:r>
      <w:r w:rsidRPr="00897036">
        <w:rPr>
          <w:rFonts w:asciiTheme="majorBidi" w:hAnsiTheme="majorBidi" w:cstheme="majorBidi"/>
          <w:i/>
          <w:iCs/>
        </w:rPr>
        <w:t xml:space="preserve">Anthropoligica </w:t>
      </w:r>
      <w:r w:rsidRPr="00897036">
        <w:rPr>
          <w:rFonts w:asciiTheme="majorBidi" w:hAnsiTheme="majorBidi" w:cstheme="majorBidi"/>
        </w:rPr>
        <w:t>56, no. 1 (2014), 135-150.</w:t>
      </w:r>
    </w:p>
    <w:p w14:paraId="6D66A750"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0F3B556B" w14:textId="0245C3CF"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Bright, David A. and Alison Ritter. “Retail Price as an Outcome Measure for the Effectiveness of Drug Law Enforcement,” </w:t>
      </w:r>
      <w:r w:rsidRPr="007F751A">
        <w:rPr>
          <w:rFonts w:asciiTheme="majorBidi" w:hAnsiTheme="majorBidi" w:cstheme="majorBidi"/>
          <w:i/>
          <w:iCs/>
        </w:rPr>
        <w:t xml:space="preserve">International Journal of Drug Policy </w:t>
      </w:r>
      <w:r w:rsidRPr="007F751A">
        <w:rPr>
          <w:rFonts w:asciiTheme="majorBidi" w:hAnsiTheme="majorBidi" w:cstheme="majorBidi"/>
        </w:rPr>
        <w:t>21, no. 5 (September 2010), 359-363.</w:t>
      </w:r>
    </w:p>
    <w:p w14:paraId="162D8C9F" w14:textId="77777777" w:rsidR="00E501BE" w:rsidRDefault="00E501BE" w:rsidP="0097056E">
      <w:pPr>
        <w:pStyle w:val="NormalWeb"/>
        <w:spacing w:before="0" w:beforeAutospacing="0" w:after="0" w:afterAutospacing="0"/>
        <w:rPr>
          <w:rFonts w:asciiTheme="majorBidi" w:hAnsiTheme="majorBidi" w:cstheme="majorBidi"/>
        </w:rPr>
      </w:pPr>
    </w:p>
    <w:p w14:paraId="64F1C636" w14:textId="3BFF0994" w:rsidR="002F72B8" w:rsidRPr="00BD5D49" w:rsidRDefault="002F72B8" w:rsidP="0097056E">
      <w:pPr>
        <w:pStyle w:val="NormalWeb"/>
        <w:spacing w:before="0" w:beforeAutospacing="0" w:after="0" w:afterAutospacing="0"/>
        <w:rPr>
          <w:rFonts w:asciiTheme="majorBidi" w:hAnsiTheme="majorBidi" w:cstheme="majorBidi"/>
          <w:i/>
          <w:iCs/>
        </w:rPr>
      </w:pPr>
      <w:r w:rsidRPr="00BD5D49">
        <w:rPr>
          <w:rFonts w:asciiTheme="majorBidi" w:hAnsiTheme="majorBidi" w:cstheme="majorBidi"/>
        </w:rPr>
        <w:t xml:space="preserve">Civico Museo Archeologico. “Ritratto di Agrippina Minore,” </w:t>
      </w:r>
      <w:r w:rsidRPr="00BD5D49">
        <w:rPr>
          <w:rFonts w:asciiTheme="majorBidi" w:hAnsiTheme="majorBidi" w:cstheme="majorBidi"/>
          <w:i/>
          <w:iCs/>
        </w:rPr>
        <w:t xml:space="preserve">Le collezioni, </w:t>
      </w:r>
    </w:p>
    <w:p w14:paraId="2A4DF6D6" w14:textId="77777777" w:rsidR="002F72B8" w:rsidRDefault="002F72B8" w:rsidP="0097056E">
      <w:pPr>
        <w:pStyle w:val="NormalWeb"/>
        <w:spacing w:before="0" w:beforeAutospacing="0" w:after="0" w:afterAutospacing="0"/>
        <w:ind w:left="720"/>
        <w:rPr>
          <w:rFonts w:asciiTheme="majorBidi" w:hAnsiTheme="majorBidi" w:cstheme="majorBidi"/>
          <w:color w:val="000000"/>
        </w:rPr>
      </w:pPr>
      <w:r w:rsidRPr="00BD5D49">
        <w:rPr>
          <w:rFonts w:asciiTheme="majorBidi" w:hAnsiTheme="majorBidi" w:cstheme="majorBidi"/>
        </w:rPr>
        <w:t>&lt;</w:t>
      </w:r>
      <w:r w:rsidRPr="00BD5D49">
        <w:rPr>
          <w:rFonts w:asciiTheme="majorBidi" w:hAnsiTheme="majorBidi" w:cstheme="majorBidi"/>
          <w:color w:val="000000"/>
        </w:rPr>
        <w:t>http://www.museoarcheologicomilano.it/wps/portal/poc?urile=wcm%3Apath%3ATUR_IT_ContentLibrary/minisito_museo_archeologico/lecollezioni/milanoromana/Ritratto_di_Agrippina_Minore&gt; (Accessed: 23 March 2017).</w:t>
      </w:r>
    </w:p>
    <w:p w14:paraId="6C785A3E"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0C0334D4" w14:textId="421F3C0C" w:rsidR="002F72B8"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Davis, Tess. "Supply and Demand: Exposing the Illicit Trade in Cambodian Antiquities through a Study of Sotheby’s Auction House," </w:t>
      </w:r>
      <w:r w:rsidRPr="007F751A">
        <w:rPr>
          <w:rFonts w:asciiTheme="majorBidi" w:hAnsiTheme="majorBidi" w:cstheme="majorBidi"/>
          <w:i/>
          <w:iCs/>
        </w:rPr>
        <w:t>Crime, Law and Social Change</w:t>
      </w:r>
      <w:r w:rsidRPr="007F751A">
        <w:rPr>
          <w:rFonts w:asciiTheme="majorBidi" w:hAnsiTheme="majorBidi" w:cstheme="majorBidi"/>
        </w:rPr>
        <w:t xml:space="preserve"> 56, no. 2 (2011), 155-174.</w:t>
      </w:r>
    </w:p>
    <w:p w14:paraId="602AFC59" w14:textId="77777777" w:rsidR="00E501BE" w:rsidRDefault="00E501BE" w:rsidP="00897036">
      <w:pPr>
        <w:pStyle w:val="NormalWeb"/>
        <w:spacing w:before="0" w:beforeAutospacing="0" w:after="0" w:afterAutospacing="0"/>
      </w:pPr>
    </w:p>
    <w:p w14:paraId="54C0E494" w14:textId="21FB9723" w:rsidR="00897036" w:rsidRDefault="00897036" w:rsidP="00897036">
      <w:pPr>
        <w:pStyle w:val="NormalWeb"/>
        <w:spacing w:before="0" w:beforeAutospacing="0" w:after="0" w:afterAutospacing="0"/>
      </w:pPr>
      <w:r w:rsidRPr="00897036">
        <w:t xml:space="preserve">Da Conceicao Pereira, Anabela. “Contrasting (Power of) Visual and Textual Discourses in Art </w:t>
      </w:r>
    </w:p>
    <w:p w14:paraId="53C066A9" w14:textId="070DD71D" w:rsidR="00897036" w:rsidRPr="00897036" w:rsidRDefault="00897036" w:rsidP="00897036">
      <w:pPr>
        <w:pStyle w:val="NormalWeb"/>
        <w:spacing w:before="0" w:beforeAutospacing="0" w:after="0" w:afterAutospacing="0"/>
        <w:ind w:firstLine="720"/>
      </w:pPr>
      <w:r w:rsidRPr="00897036">
        <w:t xml:space="preserve">Studies: a Critical Perspective,” </w:t>
      </w:r>
      <w:r w:rsidRPr="00897036">
        <w:rPr>
          <w:i/>
          <w:iCs/>
        </w:rPr>
        <w:t xml:space="preserve">Visual Communication </w:t>
      </w:r>
      <w:r w:rsidRPr="00897036">
        <w:t>15, no. 1 (2015), 33-53.</w:t>
      </w:r>
    </w:p>
    <w:p w14:paraId="6C1FDE09" w14:textId="77777777" w:rsidR="00E501BE" w:rsidRDefault="00E501BE" w:rsidP="0097056E">
      <w:pPr>
        <w:pStyle w:val="FootnoteText"/>
        <w:shd w:val="clear" w:color="auto" w:fill="FFFFFF" w:themeFill="background1"/>
        <w:rPr>
          <w:rFonts w:asciiTheme="majorBidi" w:hAnsiTheme="majorBidi" w:cstheme="majorBidi"/>
        </w:rPr>
      </w:pPr>
    </w:p>
    <w:p w14:paraId="720E6E9F" w14:textId="434F6490" w:rsidR="002F72B8" w:rsidRDefault="002F72B8" w:rsidP="0097056E">
      <w:pPr>
        <w:pStyle w:val="FootnoteText"/>
        <w:shd w:val="clear" w:color="auto" w:fill="FFFFFF" w:themeFill="background1"/>
        <w:rPr>
          <w:rFonts w:asciiTheme="majorBidi" w:hAnsiTheme="majorBidi" w:cstheme="majorBidi"/>
        </w:rPr>
      </w:pPr>
      <w:r w:rsidRPr="00366874">
        <w:rPr>
          <w:rFonts w:asciiTheme="majorBidi" w:hAnsiTheme="majorBidi" w:cstheme="majorBidi"/>
        </w:rPr>
        <w:t xml:space="preserve">Denskus, Tobias and Daniel E. Esser. “Social Media and Global Development Rituals: A </w:t>
      </w:r>
    </w:p>
    <w:p w14:paraId="2EB6C026" w14:textId="77777777" w:rsidR="002F72B8" w:rsidRPr="00366874" w:rsidRDefault="002F72B8" w:rsidP="0097056E">
      <w:pPr>
        <w:pStyle w:val="FootnoteText"/>
        <w:shd w:val="clear" w:color="auto" w:fill="FFFFFF" w:themeFill="background1"/>
        <w:ind w:left="720"/>
        <w:rPr>
          <w:rFonts w:asciiTheme="majorBidi" w:hAnsiTheme="majorBidi" w:cstheme="majorBidi"/>
        </w:rPr>
      </w:pPr>
      <w:r w:rsidRPr="00366874">
        <w:rPr>
          <w:rFonts w:asciiTheme="majorBidi" w:hAnsiTheme="majorBidi" w:cstheme="majorBidi"/>
        </w:rPr>
        <w:t xml:space="preserve">Content Analysis of Blogs and Tweets on the 2010 MDG Summit,” </w:t>
      </w:r>
      <w:r w:rsidRPr="00366874">
        <w:rPr>
          <w:rFonts w:asciiTheme="majorBidi" w:hAnsiTheme="majorBidi" w:cstheme="majorBidi"/>
          <w:i/>
          <w:iCs/>
        </w:rPr>
        <w:t xml:space="preserve">Third World Quarterly </w:t>
      </w:r>
      <w:r w:rsidRPr="00366874">
        <w:rPr>
          <w:rFonts w:asciiTheme="majorBidi" w:hAnsiTheme="majorBidi" w:cstheme="majorBidi"/>
        </w:rPr>
        <w:t>34, no. 3 (May 2013), 405-422.</w:t>
      </w:r>
    </w:p>
    <w:p w14:paraId="1D95FB34" w14:textId="77777777" w:rsidR="00E501BE" w:rsidRDefault="00E501BE" w:rsidP="0097056E">
      <w:pPr>
        <w:pStyle w:val="FootnoteText"/>
        <w:shd w:val="clear" w:color="auto" w:fill="FFFFFF" w:themeFill="background1"/>
        <w:rPr>
          <w:rFonts w:asciiTheme="majorBidi" w:eastAsia="Times New Roman" w:hAnsiTheme="majorBidi" w:cstheme="majorBidi"/>
        </w:rPr>
      </w:pPr>
    </w:p>
    <w:p w14:paraId="33F64B58" w14:textId="57D1B7BC" w:rsidR="002F72B8" w:rsidRPr="00366874" w:rsidRDefault="002F72B8" w:rsidP="0097056E">
      <w:pPr>
        <w:pStyle w:val="FootnoteText"/>
        <w:shd w:val="clear" w:color="auto" w:fill="FFFFFF" w:themeFill="background1"/>
        <w:rPr>
          <w:rFonts w:asciiTheme="majorBidi" w:eastAsia="Times New Roman" w:hAnsiTheme="majorBidi" w:cstheme="majorBidi"/>
          <w:spacing w:val="2"/>
          <w:lang w:val="en"/>
        </w:rPr>
      </w:pPr>
      <w:r w:rsidRPr="00366874">
        <w:rPr>
          <w:rFonts w:asciiTheme="majorBidi" w:eastAsia="Times New Roman" w:hAnsiTheme="majorBidi" w:cstheme="majorBidi"/>
        </w:rPr>
        <w:t>Dery, Jeruen E.  and Dagmar Bittner. “</w:t>
      </w:r>
      <w:r w:rsidRPr="00366874">
        <w:rPr>
          <w:rFonts w:asciiTheme="majorBidi" w:eastAsia="Times New Roman" w:hAnsiTheme="majorBidi" w:cstheme="majorBidi"/>
          <w:spacing w:val="2"/>
          <w:lang w:val="en"/>
        </w:rPr>
        <w:t xml:space="preserve">Time and Causation in Discourse: Temporal Proximity, </w:t>
      </w:r>
    </w:p>
    <w:p w14:paraId="0AB54B22" w14:textId="77777777" w:rsidR="002F72B8" w:rsidRDefault="002F72B8" w:rsidP="0097056E">
      <w:pPr>
        <w:pStyle w:val="FootnoteText"/>
        <w:shd w:val="clear" w:color="auto" w:fill="FFFFFF" w:themeFill="background1"/>
        <w:ind w:left="720"/>
        <w:rPr>
          <w:rFonts w:asciiTheme="majorBidi" w:eastAsia="Times New Roman" w:hAnsiTheme="majorBidi" w:cstheme="majorBidi"/>
          <w:spacing w:val="2"/>
          <w:lang w:val="en"/>
        </w:rPr>
      </w:pPr>
      <w:r w:rsidRPr="00366874">
        <w:rPr>
          <w:rFonts w:asciiTheme="majorBidi" w:eastAsia="Times New Roman" w:hAnsiTheme="majorBidi" w:cstheme="majorBidi"/>
          <w:spacing w:val="2"/>
          <w:lang w:val="en"/>
        </w:rPr>
        <w:t xml:space="preserve">Implicit Causality, and Re-mention Biases,” </w:t>
      </w:r>
      <w:r w:rsidRPr="00366874">
        <w:rPr>
          <w:rFonts w:asciiTheme="majorBidi" w:eastAsia="Times New Roman" w:hAnsiTheme="majorBidi" w:cstheme="majorBidi"/>
          <w:i/>
          <w:iCs/>
          <w:spacing w:val="2"/>
          <w:lang w:val="en"/>
        </w:rPr>
        <w:t xml:space="preserve">Journal of Psycholinguistic Research </w:t>
      </w:r>
      <w:r w:rsidRPr="00366874">
        <w:rPr>
          <w:rFonts w:asciiTheme="majorBidi" w:eastAsia="Times New Roman" w:hAnsiTheme="majorBidi" w:cstheme="majorBidi"/>
          <w:spacing w:val="2"/>
          <w:lang w:val="en"/>
        </w:rPr>
        <w:t>45, no. 4 (June 2015), 884.</w:t>
      </w:r>
    </w:p>
    <w:p w14:paraId="1DD2BE27" w14:textId="77777777" w:rsidR="00E501BE" w:rsidRDefault="00E501BE" w:rsidP="0097056E">
      <w:pPr>
        <w:pStyle w:val="FootnoteText"/>
        <w:rPr>
          <w:rFonts w:asciiTheme="majorBidi" w:hAnsiTheme="majorBidi" w:cstheme="majorBidi"/>
          <w:color w:val="000000" w:themeColor="text1"/>
        </w:rPr>
      </w:pPr>
    </w:p>
    <w:p w14:paraId="68101ADC" w14:textId="238295D1" w:rsidR="002F72B8" w:rsidRDefault="002F72B8" w:rsidP="0097056E">
      <w:pPr>
        <w:pStyle w:val="FootnoteText"/>
        <w:rPr>
          <w:rFonts w:asciiTheme="majorBidi" w:hAnsiTheme="majorBidi" w:cstheme="majorBidi"/>
          <w:color w:val="000000" w:themeColor="text1"/>
        </w:rPr>
      </w:pPr>
      <w:r w:rsidRPr="002D7647">
        <w:rPr>
          <w:rFonts w:asciiTheme="majorBidi" w:hAnsiTheme="majorBidi" w:cstheme="majorBidi"/>
          <w:color w:val="000000" w:themeColor="text1"/>
        </w:rPr>
        <w:t xml:space="preserve">Embassy of Egypt and Rome. "Agreement on the Cultural and Historical Property Between the </w:t>
      </w:r>
    </w:p>
    <w:p w14:paraId="4CE35D03" w14:textId="77777777" w:rsidR="002F72B8" w:rsidRPr="002D7647" w:rsidRDefault="002F72B8" w:rsidP="0097056E">
      <w:pPr>
        <w:pStyle w:val="FootnoteText"/>
        <w:ind w:left="720"/>
        <w:rPr>
          <w:rFonts w:asciiTheme="majorBidi" w:hAnsiTheme="majorBidi" w:cstheme="majorBidi"/>
          <w:color w:val="000000" w:themeColor="text1"/>
        </w:rPr>
      </w:pPr>
      <w:r w:rsidRPr="002D7647">
        <w:rPr>
          <w:rFonts w:asciiTheme="majorBidi" w:hAnsiTheme="majorBidi" w:cstheme="majorBidi"/>
          <w:color w:val="000000" w:themeColor="text1"/>
        </w:rPr>
        <w:t>Government of the Arab Republic of Egypt and the Government of the Italian Republic in the Field of Protection and Repatriation of Cultural Property," Agreement. 003906-8554424. (Rome, Italy and Egypt: 6 September 2008), 9-13.</w:t>
      </w:r>
    </w:p>
    <w:p w14:paraId="38D5A3DA" w14:textId="77777777" w:rsidR="00E501BE" w:rsidRDefault="00E501BE" w:rsidP="0097056E">
      <w:pPr>
        <w:pStyle w:val="FootnoteText"/>
        <w:rPr>
          <w:rFonts w:asciiTheme="majorBidi" w:hAnsiTheme="majorBidi" w:cstheme="majorBidi"/>
          <w:color w:val="000000" w:themeColor="text1"/>
        </w:rPr>
      </w:pPr>
    </w:p>
    <w:p w14:paraId="497415EE" w14:textId="63BA49B1" w:rsidR="002F72B8" w:rsidRDefault="002F72B8" w:rsidP="0097056E">
      <w:pPr>
        <w:pStyle w:val="FootnoteText"/>
        <w:rPr>
          <w:rFonts w:asciiTheme="majorBidi" w:hAnsiTheme="majorBidi" w:cstheme="majorBidi"/>
          <w:color w:val="000000" w:themeColor="text1"/>
        </w:rPr>
      </w:pPr>
      <w:r w:rsidRPr="002D7647">
        <w:rPr>
          <w:rFonts w:asciiTheme="majorBidi" w:hAnsiTheme="majorBidi" w:cstheme="majorBidi"/>
          <w:color w:val="000000" w:themeColor="text1"/>
        </w:rPr>
        <w:t xml:space="preserve">Embassy of the United States and Rome. "Agreement Between the Government of the United </w:t>
      </w:r>
    </w:p>
    <w:p w14:paraId="057A1D23" w14:textId="77777777" w:rsidR="002F72B8" w:rsidRPr="002D7647" w:rsidRDefault="002F72B8" w:rsidP="0097056E">
      <w:pPr>
        <w:pStyle w:val="FootnoteText"/>
        <w:ind w:left="720"/>
        <w:rPr>
          <w:rFonts w:asciiTheme="majorBidi" w:hAnsiTheme="majorBidi" w:cstheme="majorBidi"/>
          <w:color w:val="000000" w:themeColor="text1"/>
        </w:rPr>
      </w:pPr>
      <w:r w:rsidRPr="002D7647">
        <w:rPr>
          <w:rFonts w:asciiTheme="majorBidi" w:hAnsiTheme="majorBidi" w:cstheme="majorBidi"/>
          <w:color w:val="000000" w:themeColor="text1"/>
        </w:rPr>
        <w:t xml:space="preserve">States of America and the Government of the Republic of Italy Concerning the Imposition of Import Restrictions on Categories of Archaeological Material Representing </w:t>
      </w:r>
      <w:r w:rsidRPr="002D7647">
        <w:rPr>
          <w:rFonts w:asciiTheme="majorBidi" w:hAnsiTheme="majorBidi" w:cstheme="majorBidi"/>
          <w:color w:val="000000" w:themeColor="text1"/>
        </w:rPr>
        <w:lastRenderedPageBreak/>
        <w:t>the Pre-Classical, Classical, and Imperial Roman Periods of Italy," Agreement. 16-112. (Washington, DC: 19 January 2001), 1-3.</w:t>
      </w:r>
    </w:p>
    <w:p w14:paraId="76FBB92F" w14:textId="77777777" w:rsidR="00E501BE" w:rsidRDefault="00E501BE" w:rsidP="0097056E">
      <w:pPr>
        <w:pStyle w:val="FootnoteText"/>
        <w:shd w:val="clear" w:color="auto" w:fill="FFFFFF" w:themeFill="background1"/>
        <w:rPr>
          <w:rFonts w:asciiTheme="majorBidi" w:eastAsia="Times New Roman" w:hAnsiTheme="majorBidi" w:cstheme="majorBidi"/>
          <w:color w:val="000000"/>
          <w:shd w:val="clear" w:color="auto" w:fill="FFFFFF"/>
        </w:rPr>
      </w:pPr>
    </w:p>
    <w:p w14:paraId="38BC7ABE" w14:textId="7CA9F22D" w:rsidR="002F72B8" w:rsidRDefault="002F72B8" w:rsidP="0097056E">
      <w:pPr>
        <w:pStyle w:val="FootnoteText"/>
        <w:shd w:val="clear" w:color="auto" w:fill="FFFFFF" w:themeFill="background1"/>
        <w:rPr>
          <w:rFonts w:asciiTheme="majorBidi" w:eastAsia="Times New Roman" w:hAnsiTheme="majorBidi" w:cstheme="majorBidi"/>
          <w:color w:val="000000"/>
          <w:shd w:val="clear" w:color="auto" w:fill="FFFFFF"/>
        </w:rPr>
      </w:pPr>
      <w:r w:rsidRPr="008B5E9B">
        <w:rPr>
          <w:rFonts w:asciiTheme="majorBidi" w:eastAsia="Times New Roman" w:hAnsiTheme="majorBidi" w:cstheme="majorBidi"/>
          <w:color w:val="000000"/>
          <w:shd w:val="clear" w:color="auto" w:fill="FFFFFF"/>
        </w:rPr>
        <w:t xml:space="preserve">Erol, Ali Ersen. “’Please Don’t Be Turk, BE GREEK, BE ARMENIAN’ Agency and Deixis </w:t>
      </w:r>
    </w:p>
    <w:p w14:paraId="31BD9940" w14:textId="77777777" w:rsidR="002F72B8" w:rsidRPr="008B5E9B" w:rsidRDefault="002F72B8" w:rsidP="0097056E">
      <w:pPr>
        <w:pStyle w:val="FootnoteText"/>
        <w:shd w:val="clear" w:color="auto" w:fill="FFFFFF" w:themeFill="background1"/>
        <w:ind w:left="720"/>
        <w:rPr>
          <w:rFonts w:asciiTheme="majorBidi" w:hAnsiTheme="majorBidi" w:cstheme="majorBidi"/>
          <w:shd w:val="clear" w:color="auto" w:fill="F2DCDB"/>
        </w:rPr>
      </w:pPr>
      <w:r w:rsidRPr="008B5E9B">
        <w:rPr>
          <w:rFonts w:asciiTheme="majorBidi" w:eastAsia="Times New Roman" w:hAnsiTheme="majorBidi" w:cstheme="majorBidi"/>
          <w:color w:val="000000"/>
          <w:shd w:val="clear" w:color="auto" w:fill="FFFFFF"/>
        </w:rPr>
        <w:t xml:space="preserve">Across Virtualized Turkish Imagined Community,” </w:t>
      </w:r>
      <w:r w:rsidRPr="008B5E9B">
        <w:rPr>
          <w:rFonts w:asciiTheme="majorBidi" w:eastAsia="Times New Roman" w:hAnsiTheme="majorBidi" w:cstheme="majorBidi"/>
          <w:i/>
          <w:iCs/>
          <w:color w:val="000000"/>
          <w:shd w:val="clear" w:color="auto" w:fill="FFFFFF"/>
        </w:rPr>
        <w:t xml:space="preserve">International Journal of Communication </w:t>
      </w:r>
      <w:r w:rsidRPr="008B5E9B">
        <w:rPr>
          <w:rFonts w:asciiTheme="majorBidi" w:eastAsia="Times New Roman" w:hAnsiTheme="majorBidi" w:cstheme="majorBidi"/>
          <w:color w:val="000000"/>
          <w:shd w:val="clear" w:color="auto" w:fill="FFFFFF"/>
        </w:rPr>
        <w:t xml:space="preserve">7, (2013), </w:t>
      </w:r>
      <w:r>
        <w:rPr>
          <w:rFonts w:asciiTheme="majorBidi" w:eastAsia="Times New Roman" w:hAnsiTheme="majorBidi" w:cstheme="majorBidi"/>
          <w:color w:val="000000"/>
          <w:shd w:val="clear" w:color="auto" w:fill="FFFFFF"/>
        </w:rPr>
        <w:t>741-758</w:t>
      </w:r>
      <w:r w:rsidRPr="008B5E9B">
        <w:rPr>
          <w:rFonts w:asciiTheme="majorBidi" w:eastAsia="Times New Roman" w:hAnsiTheme="majorBidi" w:cstheme="majorBidi"/>
          <w:color w:val="000000"/>
          <w:shd w:val="clear" w:color="auto" w:fill="FFFFFF"/>
        </w:rPr>
        <w:t>.</w:t>
      </w:r>
    </w:p>
    <w:p w14:paraId="31FC3BDB"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51ACF800" w14:textId="1EBC9140" w:rsidR="002F72B8" w:rsidRPr="00366874" w:rsidRDefault="002F72B8" w:rsidP="0097056E">
      <w:pPr>
        <w:widowControl w:val="0"/>
        <w:autoSpaceDE w:val="0"/>
        <w:autoSpaceDN w:val="0"/>
        <w:adjustRightInd w:val="0"/>
        <w:ind w:left="720" w:hanging="720"/>
        <w:rPr>
          <w:rFonts w:ascii="Times New Roman" w:hAnsi="Times New Roman" w:cs="Times New Roman"/>
        </w:rPr>
      </w:pPr>
      <w:r w:rsidRPr="00366874">
        <w:rPr>
          <w:rFonts w:asciiTheme="majorBidi" w:hAnsiTheme="majorBidi" w:cstheme="majorBidi"/>
        </w:rPr>
        <w:t xml:space="preserve">Federal Bureau of Investigation. "Art Theft," </w:t>
      </w:r>
      <w:r w:rsidRPr="00366874">
        <w:rPr>
          <w:rFonts w:asciiTheme="majorBidi" w:hAnsiTheme="majorBidi" w:cstheme="majorBidi"/>
          <w:i/>
          <w:iCs/>
        </w:rPr>
        <w:t>What We Investigate</w:t>
      </w:r>
      <w:r w:rsidRPr="00366874">
        <w:rPr>
          <w:rFonts w:asciiTheme="majorBidi" w:hAnsiTheme="majorBidi" w:cstheme="majorBidi"/>
        </w:rPr>
        <w:t>, &lt;</w:t>
      </w:r>
      <w:r w:rsidRPr="00AA6EB1">
        <w:rPr>
          <w:rFonts w:asciiTheme="majorBidi" w:hAnsiTheme="majorBidi" w:cstheme="majorBidi"/>
        </w:rPr>
        <w:t>https://www.fbi.gov/investigate/violent-crime/art-theft</w:t>
      </w:r>
      <w:r w:rsidRPr="00366874">
        <w:rPr>
          <w:rFonts w:asciiTheme="majorBidi" w:hAnsiTheme="majorBidi" w:cstheme="majorBidi"/>
        </w:rPr>
        <w:t>&gt; (4 December 2016)</w:t>
      </w:r>
      <w:r w:rsidRPr="00366874">
        <w:rPr>
          <w:rFonts w:ascii="Times New Roman" w:hAnsi="Times New Roman" w:cs="Times New Roman"/>
        </w:rPr>
        <w:t>.</w:t>
      </w:r>
    </w:p>
    <w:p w14:paraId="34911D19"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73B30A56" w14:textId="431D031D" w:rsidR="002F72B8" w:rsidRPr="00366874" w:rsidRDefault="002F72B8" w:rsidP="0097056E">
      <w:pPr>
        <w:widowControl w:val="0"/>
        <w:autoSpaceDE w:val="0"/>
        <w:autoSpaceDN w:val="0"/>
        <w:adjustRightInd w:val="0"/>
        <w:ind w:left="720" w:hanging="720"/>
        <w:rPr>
          <w:rFonts w:asciiTheme="majorBidi" w:hAnsiTheme="majorBidi" w:cstheme="majorBidi"/>
        </w:rPr>
      </w:pPr>
      <w:r w:rsidRPr="00366874">
        <w:rPr>
          <w:rFonts w:asciiTheme="majorBidi" w:hAnsiTheme="majorBidi" w:cstheme="majorBidi"/>
        </w:rPr>
        <w:t xml:space="preserve">Federal Bureau of Investigation. "FBI Art Theft Program," </w:t>
      </w:r>
      <w:r w:rsidRPr="00366874">
        <w:rPr>
          <w:rFonts w:asciiTheme="majorBidi" w:hAnsiTheme="majorBidi" w:cstheme="majorBidi"/>
          <w:i/>
          <w:iCs/>
        </w:rPr>
        <w:t>YouTube, 1</w:t>
      </w:r>
      <w:r w:rsidRPr="00366874">
        <w:rPr>
          <w:rFonts w:asciiTheme="majorBidi" w:hAnsiTheme="majorBidi" w:cstheme="majorBidi"/>
        </w:rPr>
        <w:t>8 March 2013,</w:t>
      </w:r>
      <w:r w:rsidRPr="00366874">
        <w:rPr>
          <w:rFonts w:asciiTheme="majorBidi" w:hAnsiTheme="majorBidi" w:cstheme="majorBidi"/>
          <w:i/>
          <w:iCs/>
        </w:rPr>
        <w:t xml:space="preserve"> &lt;</w:t>
      </w:r>
      <w:r w:rsidRPr="00AA6EB1">
        <w:rPr>
          <w:rFonts w:asciiTheme="majorBidi" w:hAnsiTheme="majorBidi" w:cstheme="majorBidi"/>
        </w:rPr>
        <w:t>https://www.youtube.com/watch?v=f4HHYXS2MUE&amp;feature=youtu.be</w:t>
      </w:r>
      <w:r w:rsidRPr="00366874">
        <w:rPr>
          <w:rFonts w:asciiTheme="majorBidi" w:hAnsiTheme="majorBidi" w:cstheme="majorBidi"/>
        </w:rPr>
        <w:t xml:space="preserve">&gt; (3 December 2016).      </w:t>
      </w:r>
    </w:p>
    <w:p w14:paraId="3E160812" w14:textId="77777777" w:rsidR="00E501BE" w:rsidRDefault="00E501BE" w:rsidP="0097056E">
      <w:pPr>
        <w:pStyle w:val="NormalWeb"/>
        <w:spacing w:before="0" w:beforeAutospacing="0" w:after="0" w:afterAutospacing="0"/>
        <w:rPr>
          <w:rFonts w:asciiTheme="majorBidi" w:hAnsiTheme="majorBidi" w:cstheme="majorBidi"/>
        </w:rPr>
      </w:pPr>
    </w:p>
    <w:p w14:paraId="13A0A01F" w14:textId="466643A3" w:rsidR="002F72B8" w:rsidRPr="00C30A2C" w:rsidRDefault="002F72B8" w:rsidP="0097056E">
      <w:pPr>
        <w:pStyle w:val="NormalWeb"/>
        <w:spacing w:before="0" w:beforeAutospacing="0" w:after="0" w:afterAutospacing="0"/>
        <w:rPr>
          <w:rFonts w:asciiTheme="majorBidi" w:eastAsia="Times New Roman" w:hAnsiTheme="majorBidi" w:cstheme="majorBidi"/>
        </w:rPr>
      </w:pPr>
      <w:r w:rsidRPr="00C30A2C">
        <w:rPr>
          <w:rFonts w:asciiTheme="majorBidi" w:hAnsiTheme="majorBidi" w:cstheme="majorBidi"/>
        </w:rPr>
        <w:t>Federal Bureau of Investigation. “</w:t>
      </w:r>
      <w:r w:rsidRPr="00C30A2C">
        <w:rPr>
          <w:rFonts w:asciiTheme="majorBidi" w:eastAsia="Times New Roman" w:hAnsiTheme="majorBidi" w:cstheme="majorBidi"/>
        </w:rPr>
        <w:t xml:space="preserve">FBI New York Hosts Italian Carabinieri in Formal </w:t>
      </w:r>
    </w:p>
    <w:p w14:paraId="142B81CF" w14:textId="77777777" w:rsidR="002F72B8" w:rsidRPr="00C30A2C" w:rsidRDefault="002F72B8" w:rsidP="0097056E">
      <w:pPr>
        <w:pStyle w:val="NormalWeb"/>
        <w:spacing w:before="0" w:beforeAutospacing="0" w:after="0" w:afterAutospacing="0"/>
        <w:ind w:firstLine="720"/>
        <w:rPr>
          <w:rFonts w:asciiTheme="majorBidi" w:hAnsiTheme="majorBidi" w:cstheme="majorBidi"/>
        </w:rPr>
      </w:pPr>
      <w:r w:rsidRPr="00C30A2C">
        <w:rPr>
          <w:rFonts w:asciiTheme="majorBidi" w:eastAsia="Times New Roman" w:hAnsiTheme="majorBidi" w:cstheme="majorBidi"/>
        </w:rPr>
        <w:t xml:space="preserve">Ceremony to Return Roman Statue Stolen 33 Years Ago,” </w:t>
      </w:r>
      <w:r w:rsidRPr="00C30A2C">
        <w:rPr>
          <w:rFonts w:asciiTheme="majorBidi" w:eastAsia="Times New Roman" w:hAnsiTheme="majorBidi" w:cstheme="majorBidi"/>
          <w:i/>
          <w:iCs/>
        </w:rPr>
        <w:t>News</w:t>
      </w:r>
      <w:r w:rsidRPr="00C30A2C">
        <w:rPr>
          <w:rFonts w:asciiTheme="majorBidi" w:eastAsia="Times New Roman" w:hAnsiTheme="majorBidi" w:cstheme="majorBidi"/>
        </w:rPr>
        <w:t>, &lt;</w:t>
      </w:r>
      <w:r w:rsidRPr="00C30A2C">
        <w:rPr>
          <w:rFonts w:asciiTheme="majorBidi" w:hAnsiTheme="majorBidi" w:cstheme="majorBidi"/>
        </w:rPr>
        <w:t xml:space="preserve"> </w:t>
      </w:r>
    </w:p>
    <w:p w14:paraId="641F8CAF" w14:textId="77777777" w:rsidR="002F72B8" w:rsidRPr="00C30A2C" w:rsidRDefault="002F72B8" w:rsidP="0097056E">
      <w:pPr>
        <w:pStyle w:val="NormalWeb"/>
        <w:spacing w:before="0" w:beforeAutospacing="0" w:after="0" w:afterAutospacing="0"/>
        <w:ind w:firstLine="720"/>
        <w:rPr>
          <w:rFonts w:asciiTheme="majorBidi" w:eastAsia="Times New Roman" w:hAnsiTheme="majorBidi" w:cstheme="majorBidi"/>
        </w:rPr>
      </w:pPr>
      <w:r w:rsidRPr="00C30A2C">
        <w:rPr>
          <w:rFonts w:asciiTheme="majorBidi" w:eastAsia="Times New Roman" w:hAnsiTheme="majorBidi" w:cstheme="majorBidi"/>
        </w:rPr>
        <w:t>https://www.fbi.gov/contact-us/field-offices/newyork/news/press-releases/fbi-new-york-</w:t>
      </w:r>
    </w:p>
    <w:p w14:paraId="2964EF0A" w14:textId="77777777" w:rsidR="002F72B8" w:rsidRPr="00C30A2C" w:rsidRDefault="002F72B8" w:rsidP="0097056E">
      <w:pPr>
        <w:pStyle w:val="NormalWeb"/>
        <w:spacing w:before="0" w:beforeAutospacing="0" w:after="0" w:afterAutospacing="0"/>
        <w:ind w:firstLine="720"/>
        <w:rPr>
          <w:rFonts w:asciiTheme="majorBidi" w:eastAsia="Times New Roman" w:hAnsiTheme="majorBidi" w:cstheme="majorBidi"/>
        </w:rPr>
      </w:pPr>
      <w:r w:rsidRPr="00C30A2C">
        <w:rPr>
          <w:rFonts w:asciiTheme="majorBidi" w:eastAsia="Times New Roman" w:hAnsiTheme="majorBidi" w:cstheme="majorBidi"/>
        </w:rPr>
        <w:t>hosts-italian-carabinieri-in-formal-ceremony-to-return-roman-statue-stolen-33-years-</w:t>
      </w:r>
    </w:p>
    <w:p w14:paraId="203327D4" w14:textId="77777777" w:rsidR="002F72B8" w:rsidRPr="00C30A2C" w:rsidRDefault="002F72B8" w:rsidP="0097056E">
      <w:pPr>
        <w:pStyle w:val="NormalWeb"/>
        <w:spacing w:before="0" w:beforeAutospacing="0" w:after="0" w:afterAutospacing="0"/>
        <w:ind w:firstLine="720"/>
        <w:rPr>
          <w:rFonts w:asciiTheme="majorBidi" w:eastAsia="Times New Roman" w:hAnsiTheme="majorBidi" w:cstheme="majorBidi"/>
        </w:rPr>
      </w:pPr>
      <w:r w:rsidRPr="00C30A2C">
        <w:rPr>
          <w:rFonts w:asciiTheme="majorBidi" w:eastAsia="Times New Roman" w:hAnsiTheme="majorBidi" w:cstheme="majorBidi"/>
        </w:rPr>
        <w:t>ago&gt; (Accessed: 13 January 2017).</w:t>
      </w:r>
    </w:p>
    <w:p w14:paraId="6E407905"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5FF33A52" w14:textId="35974D0F" w:rsidR="002F72B8"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Keane, David and Valentina Azarov. "UNESCO, Palestine and Archaeology in Conflict," </w:t>
      </w:r>
      <w:r w:rsidRPr="007F751A">
        <w:rPr>
          <w:rFonts w:asciiTheme="majorBidi" w:hAnsiTheme="majorBidi" w:cstheme="majorBidi"/>
          <w:i/>
          <w:iCs/>
        </w:rPr>
        <w:t>Denver Journal of International Law and Policy</w:t>
      </w:r>
      <w:r w:rsidRPr="007F751A">
        <w:rPr>
          <w:rFonts w:asciiTheme="majorBidi" w:hAnsiTheme="majorBidi" w:cstheme="majorBidi"/>
        </w:rPr>
        <w:t>, (Spring 2013), 309-343.</w:t>
      </w:r>
    </w:p>
    <w:p w14:paraId="3A6FB6E5" w14:textId="77777777" w:rsidR="00E501BE" w:rsidRDefault="00E501BE" w:rsidP="00897036">
      <w:pPr>
        <w:widowControl w:val="0"/>
        <w:autoSpaceDE w:val="0"/>
        <w:autoSpaceDN w:val="0"/>
        <w:adjustRightInd w:val="0"/>
        <w:rPr>
          <w:rFonts w:asciiTheme="majorBidi" w:hAnsiTheme="majorBidi" w:cstheme="majorBidi"/>
        </w:rPr>
      </w:pPr>
    </w:p>
    <w:p w14:paraId="51D2B749" w14:textId="77777777" w:rsidR="00897036" w:rsidRDefault="00897036" w:rsidP="00897036">
      <w:pPr>
        <w:widowControl w:val="0"/>
        <w:autoSpaceDE w:val="0"/>
        <w:autoSpaceDN w:val="0"/>
        <w:adjustRightInd w:val="0"/>
        <w:rPr>
          <w:rFonts w:asciiTheme="majorBidi" w:hAnsiTheme="majorBidi" w:cstheme="majorBidi"/>
        </w:rPr>
      </w:pPr>
      <w:r w:rsidRPr="00897036">
        <w:rPr>
          <w:rFonts w:asciiTheme="majorBidi" w:hAnsiTheme="majorBidi" w:cstheme="majorBidi"/>
        </w:rPr>
        <w:t xml:space="preserve">Jewitt, Carey. "A Social Semiotic Analysis of Male Heterosexuality in Sexual Health Resources: </w:t>
      </w:r>
    </w:p>
    <w:p w14:paraId="026617B3" w14:textId="1BCE4882" w:rsidR="00897036" w:rsidRPr="00897036" w:rsidRDefault="00897036" w:rsidP="00897036">
      <w:pPr>
        <w:widowControl w:val="0"/>
        <w:autoSpaceDE w:val="0"/>
        <w:autoSpaceDN w:val="0"/>
        <w:adjustRightInd w:val="0"/>
        <w:ind w:left="720"/>
        <w:rPr>
          <w:rFonts w:asciiTheme="majorBidi" w:hAnsiTheme="majorBidi" w:cstheme="majorBidi"/>
        </w:rPr>
      </w:pPr>
      <w:r w:rsidRPr="00897036">
        <w:rPr>
          <w:rFonts w:asciiTheme="majorBidi" w:hAnsiTheme="majorBidi" w:cstheme="majorBidi"/>
        </w:rPr>
        <w:t xml:space="preserve">the Case of Images" cited in: Jewitt, Carey and Rumiko Oyama. </w:t>
      </w:r>
      <w:r w:rsidRPr="00897036">
        <w:rPr>
          <w:rFonts w:asciiTheme="majorBidi" w:hAnsiTheme="majorBidi" w:cstheme="majorBidi"/>
          <w:i/>
          <w:iCs/>
        </w:rPr>
        <w:t>Visual Meaning: a Social Semiotic Approach: The Handbook of Visual Analysis</w:t>
      </w:r>
      <w:r w:rsidRPr="00897036">
        <w:rPr>
          <w:rFonts w:asciiTheme="majorBidi" w:hAnsiTheme="majorBidi" w:cstheme="majorBidi"/>
        </w:rPr>
        <w:t>. Cape Town: SAGE Publications, Inc., 2012</w:t>
      </w:r>
    </w:p>
    <w:p w14:paraId="6AC82F41" w14:textId="77777777" w:rsidR="00E501BE" w:rsidRDefault="00E501BE" w:rsidP="0097056E">
      <w:pPr>
        <w:rPr>
          <w:rFonts w:asciiTheme="majorBidi" w:hAnsiTheme="majorBidi" w:cstheme="majorBidi"/>
        </w:rPr>
      </w:pPr>
    </w:p>
    <w:p w14:paraId="11114DD5" w14:textId="08741776" w:rsidR="002F72B8" w:rsidRDefault="002F72B8" w:rsidP="0097056E">
      <w:pPr>
        <w:rPr>
          <w:rFonts w:asciiTheme="majorBidi" w:hAnsiTheme="majorBidi" w:cstheme="majorBidi"/>
        </w:rPr>
      </w:pPr>
      <w:r w:rsidRPr="00731336">
        <w:rPr>
          <w:rFonts w:asciiTheme="majorBidi" w:hAnsiTheme="majorBidi" w:cstheme="majorBidi"/>
        </w:rPr>
        <w:t xml:space="preserve">Lisa Cole, Nicki. “Global Capitalism Organizing Knowledge of Race, Gender, and Class: the </w:t>
      </w:r>
    </w:p>
    <w:p w14:paraId="5FE3A963" w14:textId="77777777" w:rsidR="002F72B8" w:rsidRPr="00731336" w:rsidRDefault="002F72B8" w:rsidP="0097056E">
      <w:pPr>
        <w:ind w:firstLine="720"/>
        <w:rPr>
          <w:rFonts w:asciiTheme="majorBidi" w:hAnsiTheme="majorBidi" w:cstheme="majorBidi"/>
        </w:rPr>
      </w:pPr>
      <w:r w:rsidRPr="00731336">
        <w:rPr>
          <w:rFonts w:asciiTheme="majorBidi" w:hAnsiTheme="majorBidi" w:cstheme="majorBidi"/>
        </w:rPr>
        <w:t xml:space="preserve">Case of Responsible Coffee,” </w:t>
      </w:r>
      <w:r w:rsidRPr="00731336">
        <w:rPr>
          <w:rFonts w:asciiTheme="majorBidi" w:hAnsiTheme="majorBidi" w:cstheme="majorBidi"/>
          <w:i/>
          <w:iCs/>
        </w:rPr>
        <w:t xml:space="preserve">Race, Gender, and Class </w:t>
      </w:r>
      <w:r w:rsidRPr="00731336">
        <w:rPr>
          <w:rFonts w:asciiTheme="majorBidi" w:hAnsiTheme="majorBidi" w:cstheme="majorBidi"/>
        </w:rPr>
        <w:t>15, no. 1 (2008), 170-187.</w:t>
      </w:r>
    </w:p>
    <w:p w14:paraId="1CC9B612"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3BE61FF8" w14:textId="68B4C9A1"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Mackenzie, Simon R. M. "Dig a Bit Deeper: Law, Regulation and the Illicit Antiquities Market." </w:t>
      </w:r>
      <w:r w:rsidRPr="007F751A">
        <w:rPr>
          <w:rFonts w:asciiTheme="majorBidi" w:hAnsiTheme="majorBidi" w:cstheme="majorBidi"/>
          <w:i/>
          <w:iCs/>
        </w:rPr>
        <w:t>The British Journal of Criminology</w:t>
      </w:r>
      <w:r w:rsidRPr="007F751A">
        <w:rPr>
          <w:rFonts w:asciiTheme="majorBidi" w:hAnsiTheme="majorBidi" w:cstheme="majorBidi"/>
        </w:rPr>
        <w:t xml:space="preserve"> 45, no. 3 (2005), 249-268. </w:t>
      </w:r>
    </w:p>
    <w:p w14:paraId="015A81EC" w14:textId="77777777" w:rsidR="00E501BE" w:rsidRDefault="00E501BE" w:rsidP="0097056E">
      <w:pPr>
        <w:rPr>
          <w:rFonts w:asciiTheme="majorBidi" w:eastAsia="Times New Roman" w:hAnsiTheme="majorBidi" w:cstheme="majorBidi"/>
          <w:shd w:val="clear" w:color="auto" w:fill="FFFFFF"/>
        </w:rPr>
      </w:pPr>
    </w:p>
    <w:p w14:paraId="0665413E" w14:textId="7AA8156E" w:rsidR="002F72B8" w:rsidRPr="00366874" w:rsidRDefault="002F72B8" w:rsidP="0097056E">
      <w:pPr>
        <w:rPr>
          <w:rFonts w:asciiTheme="majorBidi" w:eastAsia="Times New Roman" w:hAnsiTheme="majorBidi" w:cstheme="majorBidi"/>
          <w:shd w:val="clear" w:color="auto" w:fill="FFFFFF"/>
        </w:rPr>
      </w:pPr>
      <w:r w:rsidRPr="00366874">
        <w:rPr>
          <w:rFonts w:asciiTheme="majorBidi" w:eastAsia="Times New Roman" w:hAnsiTheme="majorBidi" w:cstheme="majorBidi"/>
          <w:shd w:val="clear" w:color="auto" w:fill="FFFFFF"/>
        </w:rPr>
        <w:t xml:space="preserve">McGuirk, Siobhan. “’God Loves You and It Gets Better’ Ideology, Deixis, and Agency in an </w:t>
      </w:r>
    </w:p>
    <w:p w14:paraId="75849A52" w14:textId="77777777" w:rsidR="002F72B8" w:rsidRDefault="002F72B8" w:rsidP="0097056E">
      <w:pPr>
        <w:ind w:left="720"/>
        <w:rPr>
          <w:rFonts w:asciiTheme="majorBidi" w:eastAsia="Times New Roman" w:hAnsiTheme="majorBidi" w:cstheme="majorBidi"/>
          <w:shd w:val="clear" w:color="auto" w:fill="FFFFFF"/>
        </w:rPr>
      </w:pPr>
      <w:r w:rsidRPr="00366874">
        <w:rPr>
          <w:rFonts w:asciiTheme="majorBidi" w:eastAsia="Times New Roman" w:hAnsiTheme="majorBidi" w:cstheme="majorBidi"/>
          <w:shd w:val="clear" w:color="auto" w:fill="FFFFFF"/>
        </w:rPr>
        <w:t xml:space="preserve">Anti-Homophobic Bullying Viral Campaign,” </w:t>
      </w:r>
      <w:r w:rsidRPr="00366874">
        <w:rPr>
          <w:rFonts w:asciiTheme="majorBidi" w:eastAsia="Times New Roman" w:hAnsiTheme="majorBidi" w:cstheme="majorBidi"/>
          <w:i/>
          <w:iCs/>
          <w:shd w:val="clear" w:color="auto" w:fill="FFFFFF"/>
        </w:rPr>
        <w:t xml:space="preserve">Journal of Language and Sexuality </w:t>
      </w:r>
      <w:r w:rsidRPr="00366874">
        <w:rPr>
          <w:rFonts w:asciiTheme="majorBidi" w:eastAsia="Times New Roman" w:hAnsiTheme="majorBidi" w:cstheme="majorBidi"/>
          <w:shd w:val="clear" w:color="auto" w:fill="FFFFFF"/>
        </w:rPr>
        <w:t>3, no. 2 (2014), 219-244.</w:t>
      </w:r>
    </w:p>
    <w:p w14:paraId="0836E2C0"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7B2141D5" w14:textId="77777777" w:rsidR="002F72B8" w:rsidRPr="00F227FC" w:rsidRDefault="002F72B8" w:rsidP="0097056E">
      <w:pPr>
        <w:widowControl w:val="0"/>
        <w:autoSpaceDE w:val="0"/>
        <w:autoSpaceDN w:val="0"/>
        <w:adjustRightInd w:val="0"/>
        <w:ind w:left="720" w:hanging="720"/>
        <w:rPr>
          <w:rFonts w:asciiTheme="majorBidi" w:hAnsiTheme="majorBidi" w:cstheme="majorBidi"/>
          <w:color w:val="000000"/>
        </w:rPr>
      </w:pPr>
      <w:r w:rsidRPr="00F227FC">
        <w:rPr>
          <w:rFonts w:asciiTheme="majorBidi" w:hAnsiTheme="majorBidi" w:cstheme="majorBidi"/>
        </w:rPr>
        <w:t>The Metropolitan Museum of Art. “Bronze statue of an aristocratic boy,” &lt;</w:t>
      </w:r>
      <w:r w:rsidRPr="00F227FC">
        <w:t xml:space="preserve"> </w:t>
      </w:r>
      <w:r w:rsidRPr="00F227FC">
        <w:rPr>
          <w:rFonts w:asciiTheme="majorBidi" w:hAnsiTheme="majorBidi" w:cstheme="majorBidi"/>
        </w:rPr>
        <w:t>http://www.metmuseum.org/art/collection/search/248891?sortBy=Relevance&amp;amp;ft=roman&amp;amp;offset=0&amp;amp;rpp=20&amp;amp;pos=3&gt; (Accessed: 21 March 2017).</w:t>
      </w:r>
    </w:p>
    <w:p w14:paraId="3CA59314"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45E786EF" w14:textId="1D4B050A"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Moore, Timothy J. “Australian Illicit Drug Market Data: Sources and Issues,” </w:t>
      </w:r>
      <w:r w:rsidRPr="007F751A">
        <w:rPr>
          <w:rFonts w:asciiTheme="majorBidi" w:hAnsiTheme="majorBidi" w:cstheme="majorBidi"/>
          <w:i/>
          <w:iCs/>
        </w:rPr>
        <w:t>Australian Economic Review</w:t>
      </w:r>
      <w:r w:rsidRPr="007F751A">
        <w:rPr>
          <w:rFonts w:asciiTheme="majorBidi" w:hAnsiTheme="majorBidi" w:cstheme="majorBidi"/>
        </w:rPr>
        <w:t xml:space="preserve"> 39, no. 4 (2006), 442-452.</w:t>
      </w:r>
    </w:p>
    <w:p w14:paraId="37083581"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5E3050B8" w14:textId="77777777" w:rsidR="002F72B8" w:rsidRPr="00366874" w:rsidRDefault="002F72B8" w:rsidP="0097056E">
      <w:pPr>
        <w:widowControl w:val="0"/>
        <w:autoSpaceDE w:val="0"/>
        <w:autoSpaceDN w:val="0"/>
        <w:adjustRightInd w:val="0"/>
        <w:ind w:left="720" w:hanging="720"/>
        <w:rPr>
          <w:rFonts w:asciiTheme="majorBidi" w:hAnsiTheme="majorBidi" w:cstheme="majorBidi"/>
        </w:rPr>
      </w:pPr>
      <w:r w:rsidRPr="00366874">
        <w:rPr>
          <w:rFonts w:asciiTheme="majorBidi" w:hAnsiTheme="majorBidi" w:cstheme="majorBidi"/>
        </w:rPr>
        <w:t xml:space="preserve">Musei Capitolini. "Hall of the She-wolf," </w:t>
      </w:r>
      <w:r w:rsidRPr="00366874">
        <w:rPr>
          <w:rFonts w:asciiTheme="majorBidi" w:hAnsiTheme="majorBidi" w:cstheme="majorBidi"/>
          <w:i/>
          <w:iCs/>
        </w:rPr>
        <w:t>The Collections: Through the Rooms</w:t>
      </w:r>
      <w:r w:rsidRPr="00366874">
        <w:rPr>
          <w:rFonts w:asciiTheme="majorBidi" w:hAnsiTheme="majorBidi" w:cstheme="majorBidi"/>
        </w:rPr>
        <w:t xml:space="preserve">, </w:t>
      </w:r>
      <w:r w:rsidRPr="00366874">
        <w:rPr>
          <w:rFonts w:asciiTheme="majorBidi" w:hAnsiTheme="majorBidi" w:cstheme="majorBidi"/>
        </w:rPr>
        <w:lastRenderedPageBreak/>
        <w:t>&lt;http://en.museicapitolini.org/collezioni/percorsi_per_sale/appartamento_dei_conservatori/sala_della_lupa/lupa_capitolina&gt; (Accessed: 22 November 2016).</w:t>
      </w:r>
    </w:p>
    <w:p w14:paraId="50F95FBE" w14:textId="77777777" w:rsidR="00E501BE" w:rsidRDefault="00E501BE" w:rsidP="0097056E">
      <w:pPr>
        <w:widowControl w:val="0"/>
        <w:autoSpaceDE w:val="0"/>
        <w:autoSpaceDN w:val="0"/>
        <w:adjustRightInd w:val="0"/>
        <w:ind w:left="720" w:hanging="720"/>
        <w:rPr>
          <w:rFonts w:asciiTheme="majorBidi" w:hAnsiTheme="majorBidi" w:cstheme="majorBidi"/>
          <w:color w:val="000000"/>
        </w:rPr>
      </w:pPr>
    </w:p>
    <w:p w14:paraId="7E959122" w14:textId="620D0FA5" w:rsidR="002F72B8" w:rsidRDefault="002F72B8" w:rsidP="0097056E">
      <w:pPr>
        <w:widowControl w:val="0"/>
        <w:autoSpaceDE w:val="0"/>
        <w:autoSpaceDN w:val="0"/>
        <w:adjustRightInd w:val="0"/>
        <w:ind w:left="720" w:hanging="720"/>
        <w:rPr>
          <w:rFonts w:asciiTheme="majorBidi" w:hAnsiTheme="majorBidi" w:cstheme="majorBidi"/>
        </w:rPr>
      </w:pPr>
      <w:r w:rsidRPr="004C61D0">
        <w:rPr>
          <w:rFonts w:asciiTheme="majorBidi" w:hAnsiTheme="majorBidi" w:cstheme="majorBidi"/>
          <w:color w:val="000000"/>
        </w:rPr>
        <w:t xml:space="preserve">The Museo Nazionale Romano. “Sarcophagus of Portonaccio,” </w:t>
      </w:r>
      <w:r w:rsidRPr="004C61D0">
        <w:rPr>
          <w:rFonts w:asciiTheme="majorBidi" w:hAnsiTheme="majorBidi" w:cstheme="majorBidi"/>
          <w:i/>
          <w:iCs/>
          <w:color w:val="000000"/>
        </w:rPr>
        <w:t>Sculptures</w:t>
      </w:r>
      <w:r w:rsidRPr="004C61D0">
        <w:rPr>
          <w:rFonts w:asciiTheme="majorBidi" w:hAnsiTheme="majorBidi" w:cstheme="majorBidi"/>
          <w:color w:val="000000"/>
        </w:rPr>
        <w:t>, &lt;</w:t>
      </w:r>
      <w:r w:rsidRPr="004C61D0">
        <w:rPr>
          <w:rFonts w:asciiTheme="majorBidi" w:hAnsiTheme="majorBidi" w:cstheme="majorBidi"/>
        </w:rPr>
        <w:t>http://www.archeorm.arti.beniculturali.it/en/national-roman-museum-palazzo-massimo-alle-terme/sculptures/sarcophagus-portonaccio&gt; (Accessed: 25 March 2017).</w:t>
      </w:r>
    </w:p>
    <w:p w14:paraId="09DAD99D"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4AEDD3F1" w14:textId="2A1E23EE" w:rsidR="002F72B8" w:rsidRDefault="002F72B8" w:rsidP="0097056E">
      <w:pPr>
        <w:widowControl w:val="0"/>
        <w:autoSpaceDE w:val="0"/>
        <w:autoSpaceDN w:val="0"/>
        <w:adjustRightInd w:val="0"/>
        <w:ind w:left="720" w:hanging="720"/>
        <w:rPr>
          <w:rFonts w:asciiTheme="majorBidi" w:hAnsiTheme="majorBidi" w:cstheme="majorBidi"/>
        </w:rPr>
      </w:pPr>
      <w:r w:rsidRPr="00F227FC">
        <w:rPr>
          <w:rFonts w:asciiTheme="majorBidi" w:hAnsiTheme="majorBidi" w:cstheme="majorBidi"/>
        </w:rPr>
        <w:t xml:space="preserve">The Museum of Fine Art Boston. “Torso of a young god or athlete,” </w:t>
      </w:r>
      <w:r w:rsidRPr="00F227FC">
        <w:rPr>
          <w:rFonts w:asciiTheme="majorBidi" w:hAnsiTheme="majorBidi" w:cstheme="majorBidi"/>
          <w:i/>
          <w:iCs/>
        </w:rPr>
        <w:t>Art</w:t>
      </w:r>
      <w:r w:rsidRPr="00F227FC">
        <w:rPr>
          <w:rFonts w:asciiTheme="majorBidi" w:hAnsiTheme="majorBidi" w:cstheme="majorBidi"/>
        </w:rPr>
        <w:t>, &lt; http://www.mfa.org/collections/object/torso-of-a-young-god-or-athlete-3&gt; (Accessed: 20 March 2017).</w:t>
      </w:r>
    </w:p>
    <w:p w14:paraId="2BDB0A7E"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20E89181" w14:textId="61552605" w:rsidR="002F72B8" w:rsidRPr="00366874" w:rsidRDefault="002F72B8" w:rsidP="0097056E">
      <w:pPr>
        <w:widowControl w:val="0"/>
        <w:autoSpaceDE w:val="0"/>
        <w:autoSpaceDN w:val="0"/>
        <w:adjustRightInd w:val="0"/>
        <w:ind w:left="720" w:hanging="720"/>
        <w:rPr>
          <w:rFonts w:asciiTheme="majorBidi" w:hAnsiTheme="majorBidi" w:cstheme="majorBidi"/>
        </w:rPr>
      </w:pPr>
      <w:r w:rsidRPr="00366874">
        <w:rPr>
          <w:rFonts w:asciiTheme="majorBidi" w:hAnsiTheme="majorBidi" w:cstheme="majorBidi"/>
        </w:rPr>
        <w:t xml:space="preserve">Neumann, Iver B. “Discourse Analysis,” in </w:t>
      </w:r>
      <w:r w:rsidRPr="00366874">
        <w:rPr>
          <w:rFonts w:asciiTheme="majorBidi" w:hAnsiTheme="majorBidi" w:cstheme="majorBidi"/>
          <w:i/>
          <w:iCs/>
        </w:rPr>
        <w:t xml:space="preserve">Qualitative Methods in International Relations, </w:t>
      </w:r>
      <w:r w:rsidRPr="00366874">
        <w:rPr>
          <w:rFonts w:asciiTheme="majorBidi" w:hAnsiTheme="majorBidi" w:cstheme="majorBidi"/>
        </w:rPr>
        <w:t>ed. Audie Klotz and Deepa Prakash (Great Britain: Palgrave MacMillan, 2008), 63-64.</w:t>
      </w:r>
    </w:p>
    <w:p w14:paraId="0D2E4EEE" w14:textId="77777777" w:rsidR="00E501BE" w:rsidRDefault="00E501BE" w:rsidP="0097056E">
      <w:pPr>
        <w:widowControl w:val="0"/>
        <w:autoSpaceDE w:val="0"/>
        <w:autoSpaceDN w:val="0"/>
        <w:adjustRightInd w:val="0"/>
        <w:ind w:left="720" w:hanging="720"/>
        <w:rPr>
          <w:rFonts w:ascii="Times New Roman" w:hAnsi="Times New Roman" w:cs="Times New Roman"/>
        </w:rPr>
      </w:pPr>
    </w:p>
    <w:p w14:paraId="1522CA3F" w14:textId="1AA06F60" w:rsidR="002F72B8" w:rsidRPr="00FC7BE4" w:rsidRDefault="002F72B8" w:rsidP="0097056E">
      <w:pPr>
        <w:widowControl w:val="0"/>
        <w:autoSpaceDE w:val="0"/>
        <w:autoSpaceDN w:val="0"/>
        <w:adjustRightInd w:val="0"/>
        <w:ind w:left="720" w:hanging="720"/>
        <w:rPr>
          <w:rFonts w:asciiTheme="majorBidi" w:hAnsiTheme="majorBidi" w:cstheme="majorBidi"/>
        </w:rPr>
      </w:pPr>
      <w:r w:rsidRPr="00366874">
        <w:rPr>
          <w:rFonts w:ascii="Times New Roman" w:hAnsi="Times New Roman" w:cs="Times New Roman"/>
        </w:rPr>
        <w:t>Onultalia. “</w:t>
      </w:r>
      <w:r w:rsidRPr="00366874">
        <w:rPr>
          <w:rFonts w:ascii="Times New Roman" w:eastAsia="Times New Roman" w:hAnsi="Times New Roman" w:cs="Times New Roman"/>
        </w:rPr>
        <w:t xml:space="preserve">Ancient statue </w:t>
      </w:r>
      <w:r w:rsidRPr="00D96C25">
        <w:rPr>
          <w:rStyle w:val="Strong"/>
          <w:rFonts w:ascii="Times New Roman" w:eastAsia="Times New Roman" w:hAnsi="Times New Roman" w:cs="Times New Roman"/>
          <w:b w:val="0"/>
          <w:bCs w:val="0"/>
        </w:rPr>
        <w:t>stolen</w:t>
      </w:r>
      <w:r w:rsidRPr="00366874">
        <w:rPr>
          <w:rFonts w:ascii="Times New Roman" w:eastAsia="Times New Roman" w:hAnsi="Times New Roman" w:cs="Times New Roman"/>
        </w:rPr>
        <w:t xml:space="preserve"> from #Rome,” </w:t>
      </w:r>
      <w:r w:rsidRPr="00366874">
        <w:rPr>
          <w:rFonts w:ascii="Times New Roman" w:eastAsia="Times New Roman" w:hAnsi="Times New Roman" w:cs="Times New Roman"/>
          <w:i/>
          <w:iCs/>
        </w:rPr>
        <w:t>Twitter</w:t>
      </w:r>
      <w:r w:rsidRPr="00366874">
        <w:rPr>
          <w:rFonts w:ascii="Times New Roman" w:eastAsia="Times New Roman" w:hAnsi="Times New Roman" w:cs="Times New Roman"/>
        </w:rPr>
        <w:t>, 8 December 2016, &lt;</w:t>
      </w:r>
      <w:r w:rsidRPr="00366874">
        <w:rPr>
          <w:rFonts w:ascii="Times New Roman" w:hAnsi="Times New Roman" w:cs="Times New Roman"/>
        </w:rPr>
        <w:t xml:space="preserve"> </w:t>
      </w:r>
      <w:r w:rsidRPr="00366874">
        <w:rPr>
          <w:rFonts w:ascii="Times New Roman" w:eastAsia="Times New Roman" w:hAnsi="Times New Roman" w:cs="Times New Roman"/>
        </w:rPr>
        <w:t>https://twitter.com/Onuit</w:t>
      </w:r>
      <w:r>
        <w:rPr>
          <w:rFonts w:ascii="Times New Roman" w:eastAsia="Times New Roman" w:hAnsi="Times New Roman" w:cs="Times New Roman"/>
        </w:rPr>
        <w:t>alia/status/806853593806553088&gt;</w:t>
      </w:r>
      <w:r w:rsidRPr="00366874">
        <w:rPr>
          <w:rFonts w:ascii="Times New Roman" w:eastAsia="Times New Roman" w:hAnsi="Times New Roman" w:cs="Times New Roman"/>
        </w:rPr>
        <w:t xml:space="preserve"> (Accessed: 25 February 2017).</w:t>
      </w:r>
    </w:p>
    <w:p w14:paraId="4496BB0E"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72B59831" w14:textId="17DD7C63"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Patron, Raisa E. "The Looting of Iraqi Archaeological Sites: Global Implications and Support for an International Approach to Regulating the Antiquities Market," </w:t>
      </w:r>
      <w:r w:rsidRPr="007F751A">
        <w:rPr>
          <w:rFonts w:asciiTheme="majorBidi" w:hAnsiTheme="majorBidi" w:cstheme="majorBidi"/>
          <w:i/>
          <w:iCs/>
        </w:rPr>
        <w:t>The George Washington International Law Review</w:t>
      </w:r>
      <w:r w:rsidRPr="007F751A">
        <w:rPr>
          <w:rFonts w:asciiTheme="majorBidi" w:hAnsiTheme="majorBidi" w:cstheme="majorBidi"/>
        </w:rPr>
        <w:t xml:space="preserve"> 40, no. 2 (September 2008), 465-496. </w:t>
      </w:r>
    </w:p>
    <w:p w14:paraId="6592E392"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3B9C90AE" w14:textId="26F99285" w:rsidR="002F72B8" w:rsidRPr="000A70CB" w:rsidRDefault="002F72B8" w:rsidP="0097056E">
      <w:pPr>
        <w:widowControl w:val="0"/>
        <w:autoSpaceDE w:val="0"/>
        <w:autoSpaceDN w:val="0"/>
        <w:adjustRightInd w:val="0"/>
        <w:ind w:left="720" w:hanging="720"/>
        <w:rPr>
          <w:rFonts w:asciiTheme="majorBidi" w:hAnsiTheme="majorBidi" w:cstheme="majorBidi"/>
        </w:rPr>
      </w:pPr>
      <w:r w:rsidRPr="000A70CB">
        <w:rPr>
          <w:rFonts w:asciiTheme="majorBidi" w:hAnsiTheme="majorBidi" w:cstheme="majorBidi"/>
        </w:rPr>
        <w:t xml:space="preserve">Povoledo, Elisabetta. “25 Looted Artifacts Return to Italy,” </w:t>
      </w:r>
      <w:r w:rsidRPr="000A70CB">
        <w:rPr>
          <w:rFonts w:asciiTheme="majorBidi" w:hAnsiTheme="majorBidi" w:cstheme="majorBidi"/>
          <w:i/>
          <w:iCs/>
        </w:rPr>
        <w:t xml:space="preserve">The New York Times, </w:t>
      </w:r>
      <w:r w:rsidRPr="000A70CB">
        <w:rPr>
          <w:rFonts w:asciiTheme="majorBidi" w:hAnsiTheme="majorBidi" w:cstheme="majorBidi"/>
        </w:rPr>
        <w:t>26 May 2015.</w:t>
      </w:r>
    </w:p>
    <w:p w14:paraId="4F314FEC"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006726E0" w14:textId="4F76C6C4"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Rhodes, Robin Francis. </w:t>
      </w:r>
      <w:r w:rsidRPr="007F751A">
        <w:rPr>
          <w:rFonts w:asciiTheme="majorBidi" w:hAnsiTheme="majorBidi" w:cstheme="majorBidi"/>
          <w:i/>
          <w:iCs/>
        </w:rPr>
        <w:t>The Acquisition and Exhibition of Classical Antiquities: Professional, Legal, and Ethical Perspectives</w:t>
      </w:r>
      <w:r w:rsidRPr="007F751A">
        <w:rPr>
          <w:rFonts w:asciiTheme="majorBidi" w:hAnsiTheme="majorBidi" w:cstheme="majorBidi"/>
        </w:rPr>
        <w:t>. Notre Dame: University of Notre Dame Press, 2007.</w:t>
      </w:r>
    </w:p>
    <w:p w14:paraId="31D4028D" w14:textId="77777777" w:rsidR="00E501BE" w:rsidRDefault="00E501BE" w:rsidP="0097056E">
      <w:pPr>
        <w:widowControl w:val="0"/>
        <w:autoSpaceDE w:val="0"/>
        <w:autoSpaceDN w:val="0"/>
        <w:adjustRightInd w:val="0"/>
        <w:ind w:left="720" w:hanging="720"/>
        <w:rPr>
          <w:rFonts w:asciiTheme="majorBidi" w:hAnsiTheme="majorBidi" w:cstheme="majorBidi"/>
        </w:rPr>
      </w:pPr>
    </w:p>
    <w:p w14:paraId="104B13AE" w14:textId="1AB42DDD" w:rsidR="002F72B8"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Roodt, Christa. "Restitution of Art and Cultural Objects and Its Limits," </w:t>
      </w:r>
      <w:r w:rsidRPr="007F751A">
        <w:rPr>
          <w:rFonts w:asciiTheme="majorBidi" w:hAnsiTheme="majorBidi" w:cstheme="majorBidi"/>
          <w:i/>
          <w:iCs/>
        </w:rPr>
        <w:t>The Comparative and International Law Journal of Southern Africa</w:t>
      </w:r>
      <w:r w:rsidRPr="007F751A">
        <w:rPr>
          <w:rFonts w:asciiTheme="majorBidi" w:hAnsiTheme="majorBidi" w:cstheme="majorBidi"/>
        </w:rPr>
        <w:t xml:space="preserve"> 46, no. 3 (2013), 286-307. </w:t>
      </w:r>
    </w:p>
    <w:p w14:paraId="1BFA3392"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15B4251A" w14:textId="38A0157F" w:rsidR="00897036" w:rsidRPr="00897036" w:rsidRDefault="00897036" w:rsidP="0097056E">
      <w:pPr>
        <w:widowControl w:val="0"/>
        <w:autoSpaceDE w:val="0"/>
        <w:autoSpaceDN w:val="0"/>
        <w:adjustRightInd w:val="0"/>
        <w:ind w:left="720" w:hanging="720"/>
        <w:rPr>
          <w:rFonts w:asciiTheme="majorBidi" w:hAnsiTheme="majorBidi" w:cstheme="majorBidi"/>
        </w:rPr>
      </w:pPr>
      <w:r w:rsidRPr="00897036">
        <w:rPr>
          <w:rFonts w:asciiTheme="majorBidi" w:hAnsiTheme="majorBidi" w:cstheme="majorBidi"/>
        </w:rPr>
        <w:t xml:space="preserve">Rose, Gillian. </w:t>
      </w:r>
      <w:r w:rsidRPr="00897036">
        <w:rPr>
          <w:rFonts w:asciiTheme="majorBidi" w:hAnsiTheme="majorBidi" w:cstheme="majorBidi"/>
          <w:i/>
          <w:iCs/>
        </w:rPr>
        <w:t>Visual Methodologies: An Introduction to the Interpretation of Visual Materials</w:t>
      </w:r>
      <w:r w:rsidRPr="00897036">
        <w:rPr>
          <w:rFonts w:asciiTheme="majorBidi" w:hAnsiTheme="majorBidi" w:cstheme="majorBidi"/>
        </w:rPr>
        <w:t>. London: Sage, 2001.</w:t>
      </w:r>
    </w:p>
    <w:p w14:paraId="68992B2C" w14:textId="77777777" w:rsidR="00FD222F" w:rsidRDefault="00FD222F" w:rsidP="0097056E">
      <w:pPr>
        <w:tabs>
          <w:tab w:val="left" w:pos="720"/>
        </w:tabs>
        <w:rPr>
          <w:rFonts w:asciiTheme="majorBidi" w:hAnsiTheme="majorBidi" w:cstheme="majorBidi"/>
        </w:rPr>
      </w:pPr>
    </w:p>
    <w:p w14:paraId="2B3EA573" w14:textId="0D5036E7" w:rsidR="002F72B8" w:rsidRDefault="002F72B8" w:rsidP="0097056E">
      <w:pPr>
        <w:tabs>
          <w:tab w:val="left" w:pos="720"/>
        </w:tabs>
        <w:rPr>
          <w:rFonts w:asciiTheme="majorBidi" w:hAnsiTheme="majorBidi" w:cstheme="majorBidi"/>
        </w:rPr>
      </w:pPr>
      <w:r w:rsidRPr="007F751A">
        <w:rPr>
          <w:rFonts w:asciiTheme="majorBidi" w:hAnsiTheme="majorBidi" w:cstheme="majorBidi"/>
        </w:rPr>
        <w:t xml:space="preserve">Rothfield, Lawrence. </w:t>
      </w:r>
      <w:r w:rsidRPr="007F751A">
        <w:rPr>
          <w:rFonts w:asciiTheme="majorBidi" w:hAnsiTheme="majorBidi" w:cstheme="majorBidi"/>
          <w:i/>
          <w:iCs/>
        </w:rPr>
        <w:t>The Rape of Mesopotamia: Behind the Looting of the Iraq Museum</w:t>
      </w:r>
      <w:r w:rsidRPr="007F751A">
        <w:rPr>
          <w:rFonts w:asciiTheme="majorBidi" w:hAnsiTheme="majorBidi" w:cstheme="majorBidi"/>
        </w:rPr>
        <w:t xml:space="preserve">. </w:t>
      </w:r>
    </w:p>
    <w:p w14:paraId="1D5DE735" w14:textId="77777777" w:rsidR="002F72B8" w:rsidRPr="007F751A" w:rsidRDefault="002F72B8" w:rsidP="0097056E">
      <w:pPr>
        <w:tabs>
          <w:tab w:val="left" w:pos="720"/>
        </w:tabs>
        <w:rPr>
          <w:rFonts w:asciiTheme="majorBidi" w:hAnsiTheme="majorBidi" w:cstheme="majorBidi"/>
        </w:rPr>
      </w:pPr>
      <w:r>
        <w:rPr>
          <w:rFonts w:asciiTheme="majorBidi" w:hAnsiTheme="majorBidi" w:cstheme="majorBidi"/>
        </w:rPr>
        <w:tab/>
      </w:r>
      <w:r w:rsidRPr="007F751A">
        <w:rPr>
          <w:rFonts w:asciiTheme="majorBidi" w:hAnsiTheme="majorBidi" w:cstheme="majorBidi"/>
        </w:rPr>
        <w:t>Chicago: University of Chicago Press, 2009.</w:t>
      </w:r>
    </w:p>
    <w:p w14:paraId="571A2D98"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367B8B4F" w14:textId="5956F78F" w:rsidR="002F72B8" w:rsidRPr="000A70CB" w:rsidRDefault="002F72B8" w:rsidP="0097056E">
      <w:pPr>
        <w:widowControl w:val="0"/>
        <w:autoSpaceDE w:val="0"/>
        <w:autoSpaceDN w:val="0"/>
        <w:adjustRightInd w:val="0"/>
        <w:ind w:left="720" w:hanging="720"/>
        <w:rPr>
          <w:rFonts w:asciiTheme="majorBidi" w:hAnsiTheme="majorBidi" w:cstheme="majorBidi"/>
        </w:rPr>
      </w:pPr>
      <w:r w:rsidRPr="000A70CB">
        <w:rPr>
          <w:rFonts w:asciiTheme="majorBidi" w:hAnsiTheme="majorBidi" w:cstheme="majorBidi"/>
        </w:rPr>
        <w:t xml:space="preserve">Shanahan, Mark and Meredith Goldstein. “Brutus arrives at the Museum of Fine Arts,” </w:t>
      </w:r>
      <w:r w:rsidRPr="000A70CB">
        <w:rPr>
          <w:rFonts w:asciiTheme="majorBidi" w:hAnsiTheme="majorBidi" w:cstheme="majorBidi"/>
          <w:i/>
          <w:iCs/>
        </w:rPr>
        <w:t>Boston Globe</w:t>
      </w:r>
      <w:r w:rsidRPr="000A70CB">
        <w:rPr>
          <w:rFonts w:asciiTheme="majorBidi" w:hAnsiTheme="majorBidi" w:cstheme="majorBidi"/>
        </w:rPr>
        <w:t>, 22 January 2013.</w:t>
      </w:r>
    </w:p>
    <w:p w14:paraId="22540EAA" w14:textId="77777777" w:rsidR="00FD222F" w:rsidRDefault="00FD222F" w:rsidP="0097056E">
      <w:pPr>
        <w:widowControl w:val="0"/>
        <w:autoSpaceDE w:val="0"/>
        <w:autoSpaceDN w:val="0"/>
        <w:adjustRightInd w:val="0"/>
        <w:ind w:left="720" w:hanging="720"/>
        <w:rPr>
          <w:rFonts w:ascii="Times New Roman" w:hAnsi="Times New Roman" w:cs="Times New Roman"/>
        </w:rPr>
      </w:pPr>
    </w:p>
    <w:p w14:paraId="3C9C323C" w14:textId="78641943" w:rsidR="002F72B8" w:rsidRPr="00366874" w:rsidRDefault="002F72B8" w:rsidP="0097056E">
      <w:pPr>
        <w:widowControl w:val="0"/>
        <w:autoSpaceDE w:val="0"/>
        <w:autoSpaceDN w:val="0"/>
        <w:adjustRightInd w:val="0"/>
        <w:ind w:left="720" w:hanging="720"/>
        <w:rPr>
          <w:rFonts w:asciiTheme="majorBidi" w:hAnsiTheme="majorBidi" w:cstheme="majorBidi"/>
        </w:rPr>
      </w:pPr>
      <w:r w:rsidRPr="00366874">
        <w:rPr>
          <w:rFonts w:ascii="Times New Roman" w:hAnsi="Times New Roman" w:cs="Times New Roman"/>
        </w:rPr>
        <w:t xml:space="preserve">Shwartz-Shea, Peregrine and Dvora Yanow. </w:t>
      </w:r>
      <w:r w:rsidRPr="00366874">
        <w:rPr>
          <w:rFonts w:ascii="Times New Roman" w:hAnsi="Times New Roman" w:cs="Times New Roman"/>
          <w:i/>
          <w:iCs/>
        </w:rPr>
        <w:t xml:space="preserve">Interpretive Research Design: Concepts and Processes, </w:t>
      </w:r>
      <w:r w:rsidRPr="00366874">
        <w:rPr>
          <w:rFonts w:ascii="Times New Roman" w:hAnsi="Times New Roman" w:cs="Times New Roman"/>
        </w:rPr>
        <w:t>edition 1. (New York and London: Routledge, 2011), 78-114.</w:t>
      </w:r>
    </w:p>
    <w:p w14:paraId="0DC35F8F"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4F400E26" w14:textId="332A2A42"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Smith, Denis Mack. </w:t>
      </w:r>
      <w:r w:rsidRPr="007F751A">
        <w:rPr>
          <w:rFonts w:asciiTheme="majorBidi" w:hAnsiTheme="majorBidi" w:cstheme="majorBidi"/>
          <w:i/>
          <w:iCs/>
        </w:rPr>
        <w:t xml:space="preserve">Modern Italy: A Political History. </w:t>
      </w:r>
      <w:r w:rsidRPr="007F751A">
        <w:rPr>
          <w:rFonts w:asciiTheme="majorBidi" w:hAnsiTheme="majorBidi" w:cstheme="majorBidi"/>
        </w:rPr>
        <w:t>Ann Arbor:</w:t>
      </w:r>
      <w:r w:rsidRPr="007F751A">
        <w:rPr>
          <w:rFonts w:asciiTheme="majorBidi" w:hAnsiTheme="majorBidi" w:cstheme="majorBidi"/>
          <w:i/>
          <w:iCs/>
        </w:rPr>
        <w:t xml:space="preserve"> </w:t>
      </w:r>
      <w:r w:rsidRPr="007F751A">
        <w:rPr>
          <w:rFonts w:asciiTheme="majorBidi" w:hAnsiTheme="majorBidi" w:cstheme="majorBidi"/>
        </w:rPr>
        <w:t>University of Michigan Press, 1997.</w:t>
      </w:r>
    </w:p>
    <w:p w14:paraId="1B35B596"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676BA64A" w14:textId="77777777"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Stanish, Charles. "Forging Ahead," </w:t>
      </w:r>
      <w:r w:rsidRPr="007F751A">
        <w:rPr>
          <w:rFonts w:asciiTheme="majorBidi" w:hAnsiTheme="majorBidi" w:cstheme="majorBidi"/>
          <w:i/>
          <w:iCs/>
        </w:rPr>
        <w:t>Archaeology</w:t>
      </w:r>
      <w:r w:rsidRPr="007F751A">
        <w:rPr>
          <w:rFonts w:asciiTheme="majorBidi" w:hAnsiTheme="majorBidi" w:cstheme="majorBidi"/>
        </w:rPr>
        <w:t xml:space="preserve"> 62, no. 3 (May/June 2009), 18-66. </w:t>
      </w:r>
    </w:p>
    <w:p w14:paraId="40A6D86B"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350AB865" w14:textId="043D6C19" w:rsidR="002F72B8" w:rsidRPr="008521E1" w:rsidRDefault="002F72B8" w:rsidP="0097056E">
      <w:pPr>
        <w:widowControl w:val="0"/>
        <w:autoSpaceDE w:val="0"/>
        <w:autoSpaceDN w:val="0"/>
        <w:adjustRightInd w:val="0"/>
        <w:ind w:left="720" w:hanging="720"/>
        <w:rPr>
          <w:rFonts w:asciiTheme="majorBidi" w:hAnsiTheme="majorBidi" w:cstheme="majorBidi"/>
        </w:rPr>
      </w:pPr>
      <w:r w:rsidRPr="000A70CB">
        <w:rPr>
          <w:rFonts w:asciiTheme="majorBidi" w:hAnsiTheme="majorBidi" w:cstheme="majorBidi"/>
        </w:rPr>
        <w:t xml:space="preserve">“State stolen from Rome goes back to Italy thanks to Carabinieri,” </w:t>
      </w:r>
      <w:r w:rsidRPr="000A70CB">
        <w:rPr>
          <w:rFonts w:asciiTheme="majorBidi" w:hAnsiTheme="majorBidi" w:cstheme="majorBidi"/>
          <w:i/>
          <w:iCs/>
        </w:rPr>
        <w:t xml:space="preserve">OnuItalia, </w:t>
      </w:r>
      <w:r w:rsidRPr="000A70CB">
        <w:rPr>
          <w:rFonts w:asciiTheme="majorBidi" w:hAnsiTheme="majorBidi" w:cstheme="majorBidi"/>
        </w:rPr>
        <w:t>7 December 2016.</w:t>
      </w:r>
    </w:p>
    <w:p w14:paraId="7683FDA7"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7750D248" w14:textId="7440D61D"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Stoll, Cameron Semmes. "The Effects of Judicial Decisions and Patrimony Laws on the Price of Italian Antiquities," </w:t>
      </w:r>
      <w:r w:rsidRPr="007F751A">
        <w:rPr>
          <w:rFonts w:asciiTheme="majorBidi" w:hAnsiTheme="majorBidi" w:cstheme="majorBidi"/>
          <w:i/>
          <w:iCs/>
        </w:rPr>
        <w:t>International Journal of Cultural Property</w:t>
      </w:r>
      <w:r w:rsidRPr="007F751A">
        <w:rPr>
          <w:rFonts w:asciiTheme="majorBidi" w:hAnsiTheme="majorBidi" w:cstheme="majorBidi"/>
        </w:rPr>
        <w:t xml:space="preserve"> 19, no. 1 (February 2012), 65-96. </w:t>
      </w:r>
    </w:p>
    <w:p w14:paraId="5BC95850" w14:textId="77777777" w:rsidR="00FD222F" w:rsidRDefault="00FD222F" w:rsidP="0097056E">
      <w:pPr>
        <w:tabs>
          <w:tab w:val="left" w:pos="720"/>
          <w:tab w:val="left" w:pos="1503"/>
        </w:tabs>
        <w:rPr>
          <w:rFonts w:asciiTheme="majorBidi" w:hAnsiTheme="majorBidi" w:cstheme="majorBidi"/>
        </w:rPr>
      </w:pPr>
    </w:p>
    <w:p w14:paraId="79F23C3F" w14:textId="51BFAA2A" w:rsidR="002F72B8" w:rsidRDefault="002F72B8" w:rsidP="0097056E">
      <w:pPr>
        <w:tabs>
          <w:tab w:val="left" w:pos="720"/>
          <w:tab w:val="left" w:pos="1503"/>
        </w:tabs>
        <w:rPr>
          <w:rFonts w:asciiTheme="majorBidi" w:hAnsiTheme="majorBidi" w:cstheme="majorBidi"/>
          <w:i/>
          <w:iCs/>
        </w:rPr>
      </w:pPr>
      <w:r w:rsidRPr="004C200D">
        <w:rPr>
          <w:rFonts w:asciiTheme="majorBidi" w:hAnsiTheme="majorBidi" w:cstheme="majorBidi"/>
        </w:rPr>
        <w:t xml:space="preserve">"UNESCO, Palestine and Archaeology in Conflict." </w:t>
      </w:r>
      <w:r w:rsidRPr="004C200D">
        <w:rPr>
          <w:rFonts w:asciiTheme="majorBidi" w:hAnsiTheme="majorBidi" w:cstheme="majorBidi"/>
          <w:i/>
          <w:iCs/>
        </w:rPr>
        <w:t xml:space="preserve">Denver Journal of International Law and </w:t>
      </w:r>
    </w:p>
    <w:p w14:paraId="5CFE2C9A" w14:textId="77777777" w:rsidR="002F72B8" w:rsidRPr="004C200D" w:rsidRDefault="002F72B8" w:rsidP="0097056E">
      <w:pPr>
        <w:tabs>
          <w:tab w:val="left" w:pos="720"/>
          <w:tab w:val="left" w:pos="1503"/>
        </w:tabs>
        <w:rPr>
          <w:rFonts w:asciiTheme="majorBidi" w:hAnsiTheme="majorBidi" w:cstheme="majorBidi"/>
        </w:rPr>
      </w:pPr>
      <w:r>
        <w:rPr>
          <w:rFonts w:asciiTheme="majorBidi" w:hAnsiTheme="majorBidi" w:cstheme="majorBidi"/>
          <w:i/>
          <w:iCs/>
        </w:rPr>
        <w:tab/>
      </w:r>
      <w:r w:rsidRPr="004C200D">
        <w:rPr>
          <w:rFonts w:asciiTheme="majorBidi" w:hAnsiTheme="majorBidi" w:cstheme="majorBidi"/>
          <w:i/>
          <w:iCs/>
        </w:rPr>
        <w:t>Policy</w:t>
      </w:r>
      <w:r>
        <w:rPr>
          <w:rFonts w:asciiTheme="majorBidi" w:hAnsiTheme="majorBidi" w:cstheme="majorBidi"/>
        </w:rPr>
        <w:t>,</w:t>
      </w:r>
      <w:r w:rsidRPr="004C200D">
        <w:rPr>
          <w:rFonts w:asciiTheme="majorBidi" w:hAnsiTheme="majorBidi" w:cstheme="majorBidi"/>
        </w:rPr>
        <w:t xml:space="preserve"> (Spring</w:t>
      </w:r>
      <w:r>
        <w:rPr>
          <w:rFonts w:asciiTheme="majorBidi" w:hAnsiTheme="majorBidi" w:cstheme="majorBidi"/>
        </w:rPr>
        <w:t xml:space="preserve"> 2013</w:t>
      </w:r>
      <w:r w:rsidRPr="004C200D">
        <w:rPr>
          <w:rFonts w:asciiTheme="majorBidi" w:hAnsiTheme="majorBidi" w:cstheme="majorBidi"/>
        </w:rPr>
        <w:t>)</w:t>
      </w:r>
      <w:r>
        <w:rPr>
          <w:rFonts w:asciiTheme="majorBidi" w:hAnsiTheme="majorBidi" w:cstheme="majorBidi"/>
        </w:rPr>
        <w:t>.</w:t>
      </w:r>
    </w:p>
    <w:p w14:paraId="564DCDED" w14:textId="77777777" w:rsidR="00FD222F" w:rsidRDefault="00FD222F" w:rsidP="0097056E">
      <w:pPr>
        <w:tabs>
          <w:tab w:val="left" w:pos="720"/>
          <w:tab w:val="left" w:pos="1503"/>
        </w:tabs>
        <w:rPr>
          <w:rFonts w:asciiTheme="majorBidi" w:hAnsiTheme="majorBidi" w:cstheme="majorBidi"/>
          <w:color w:val="000000" w:themeColor="text1"/>
        </w:rPr>
      </w:pPr>
    </w:p>
    <w:p w14:paraId="1E02098E" w14:textId="40EFFEC6" w:rsidR="002F72B8" w:rsidRDefault="002F72B8" w:rsidP="0097056E">
      <w:pPr>
        <w:tabs>
          <w:tab w:val="left" w:pos="720"/>
          <w:tab w:val="left" w:pos="1503"/>
        </w:tabs>
        <w:rPr>
          <w:rFonts w:asciiTheme="majorBidi" w:hAnsiTheme="majorBidi" w:cstheme="majorBidi"/>
          <w:color w:val="000000" w:themeColor="text1"/>
        </w:rPr>
      </w:pPr>
      <w:r w:rsidRPr="00B430DA">
        <w:rPr>
          <w:rFonts w:asciiTheme="majorBidi" w:hAnsiTheme="majorBidi" w:cstheme="majorBidi"/>
          <w:color w:val="000000" w:themeColor="text1"/>
        </w:rPr>
        <w:t xml:space="preserve">United Nations Educational, Scientific, and Cultural Organization. “Other Cases of Return or </w:t>
      </w:r>
    </w:p>
    <w:p w14:paraId="4F355EDB" w14:textId="77777777" w:rsidR="002F72B8" w:rsidRPr="00B430DA" w:rsidRDefault="002F72B8" w:rsidP="0097056E">
      <w:pPr>
        <w:tabs>
          <w:tab w:val="left" w:pos="720"/>
          <w:tab w:val="left" w:pos="1503"/>
        </w:tabs>
        <w:ind w:left="720"/>
        <w:rPr>
          <w:rFonts w:asciiTheme="majorBidi" w:hAnsiTheme="majorBidi" w:cstheme="majorBidi"/>
          <w:color w:val="000000" w:themeColor="text1"/>
        </w:rPr>
      </w:pPr>
      <w:r w:rsidRPr="00B430DA">
        <w:rPr>
          <w:rFonts w:asciiTheme="majorBidi" w:hAnsiTheme="majorBidi" w:cstheme="majorBidi"/>
          <w:color w:val="000000" w:themeColor="text1"/>
        </w:rPr>
        <w:t xml:space="preserve">Restitution of Cultural Objects,” </w:t>
      </w:r>
      <w:r w:rsidRPr="00B430DA">
        <w:rPr>
          <w:rFonts w:asciiTheme="majorBidi" w:hAnsiTheme="majorBidi" w:cstheme="majorBidi"/>
          <w:i/>
          <w:iCs/>
          <w:color w:val="000000" w:themeColor="text1"/>
        </w:rPr>
        <w:t xml:space="preserve">Illicit Trafficking of Cultural Property, </w:t>
      </w:r>
      <w:r w:rsidRPr="00B430DA">
        <w:rPr>
          <w:rFonts w:asciiTheme="majorBidi" w:hAnsiTheme="majorBidi" w:cstheme="majorBidi"/>
          <w:color w:val="000000" w:themeColor="text1"/>
        </w:rPr>
        <w:t>&lt; http://www.unesco.org/new/en/culture/themes/illicit-trafficking-of-cultural-property/other-cases-of-return-or-restitution-of-cultural-objects/&gt; (Accessed: 12 November 2016).</w:t>
      </w:r>
    </w:p>
    <w:p w14:paraId="01E1E746" w14:textId="77777777" w:rsidR="00FD222F" w:rsidRDefault="00FD222F" w:rsidP="0097056E">
      <w:pPr>
        <w:widowControl w:val="0"/>
        <w:autoSpaceDE w:val="0"/>
        <w:autoSpaceDN w:val="0"/>
        <w:adjustRightInd w:val="0"/>
        <w:ind w:left="720" w:hanging="720"/>
        <w:rPr>
          <w:rFonts w:asciiTheme="majorBidi" w:hAnsiTheme="majorBidi" w:cstheme="majorBidi"/>
          <w:color w:val="000000" w:themeColor="text1"/>
        </w:rPr>
      </w:pPr>
    </w:p>
    <w:p w14:paraId="4D84E255" w14:textId="520DD2E3" w:rsidR="002F72B8" w:rsidRPr="00B430DA" w:rsidRDefault="002F72B8" w:rsidP="0097056E">
      <w:pPr>
        <w:widowControl w:val="0"/>
        <w:autoSpaceDE w:val="0"/>
        <w:autoSpaceDN w:val="0"/>
        <w:adjustRightInd w:val="0"/>
        <w:ind w:left="720" w:hanging="720"/>
        <w:rPr>
          <w:rFonts w:asciiTheme="majorBidi" w:hAnsiTheme="majorBidi" w:cstheme="majorBidi"/>
          <w:color w:val="000000" w:themeColor="text1"/>
        </w:rPr>
      </w:pPr>
      <w:r w:rsidRPr="00B430DA">
        <w:rPr>
          <w:rFonts w:asciiTheme="majorBidi" w:hAnsiTheme="majorBidi" w:cstheme="majorBidi"/>
          <w:color w:val="000000" w:themeColor="text1"/>
        </w:rPr>
        <w:t xml:space="preserve">United Nations Educational, Scientific, and Cultural Organization. “Recent Examples of Successful Operations of Cultural Property Restitutions in the World,” </w:t>
      </w:r>
      <w:r w:rsidRPr="00B430DA">
        <w:rPr>
          <w:rFonts w:asciiTheme="majorBidi" w:hAnsiTheme="majorBidi" w:cstheme="majorBidi"/>
          <w:i/>
          <w:iCs/>
          <w:color w:val="000000" w:themeColor="text1"/>
        </w:rPr>
        <w:t xml:space="preserve">Restitution of Cultural Property, </w:t>
      </w:r>
      <w:r w:rsidRPr="00B430DA">
        <w:rPr>
          <w:rFonts w:asciiTheme="majorBidi" w:hAnsiTheme="majorBidi" w:cstheme="majorBidi"/>
          <w:color w:val="000000" w:themeColor="text1"/>
        </w:rPr>
        <w:t>&lt;http://www.unesco.org/new/en/culture/themes/restitution-of-cultural-property/successful-restitutions-in-the-world/&gt; (Accessed: 12 November 2016).</w:t>
      </w:r>
    </w:p>
    <w:p w14:paraId="52722AAA" w14:textId="77777777" w:rsidR="00FD222F" w:rsidRDefault="00FD222F" w:rsidP="0097056E">
      <w:pPr>
        <w:widowControl w:val="0"/>
        <w:autoSpaceDE w:val="0"/>
        <w:autoSpaceDN w:val="0"/>
        <w:adjustRightInd w:val="0"/>
        <w:ind w:left="720" w:hanging="720"/>
        <w:rPr>
          <w:rFonts w:asciiTheme="majorBidi" w:hAnsiTheme="majorBidi" w:cstheme="majorBidi"/>
          <w:color w:val="000000" w:themeColor="text1"/>
        </w:rPr>
      </w:pPr>
    </w:p>
    <w:p w14:paraId="7DEBAA7F" w14:textId="776029F3" w:rsidR="002F72B8" w:rsidRPr="00493BB7" w:rsidRDefault="002F72B8" w:rsidP="0097056E">
      <w:pPr>
        <w:widowControl w:val="0"/>
        <w:autoSpaceDE w:val="0"/>
        <w:autoSpaceDN w:val="0"/>
        <w:adjustRightInd w:val="0"/>
        <w:ind w:left="720" w:hanging="720"/>
        <w:rPr>
          <w:rFonts w:asciiTheme="majorBidi" w:hAnsiTheme="majorBidi" w:cstheme="majorBidi"/>
        </w:rPr>
      </w:pPr>
      <w:r w:rsidRPr="00493BB7">
        <w:rPr>
          <w:rFonts w:asciiTheme="majorBidi" w:hAnsiTheme="majorBidi" w:cstheme="majorBidi"/>
          <w:color w:val="000000" w:themeColor="text1"/>
        </w:rPr>
        <w:t xml:space="preserve">United Nations Educational, Scientific, and Cultural Organization. “Return or Restitution Cases,” </w:t>
      </w:r>
      <w:r w:rsidRPr="00493BB7">
        <w:rPr>
          <w:rFonts w:asciiTheme="majorBidi" w:hAnsiTheme="majorBidi" w:cstheme="majorBidi"/>
          <w:i/>
          <w:iCs/>
          <w:color w:val="000000" w:themeColor="text1"/>
        </w:rPr>
        <w:t>Restitution of Cultural Property,</w:t>
      </w:r>
      <w:r>
        <w:rPr>
          <w:rFonts w:asciiTheme="majorBidi" w:hAnsiTheme="majorBidi" w:cstheme="majorBidi"/>
          <w:i/>
          <w:iCs/>
          <w:color w:val="000000" w:themeColor="text1"/>
        </w:rPr>
        <w:t xml:space="preserve"> </w:t>
      </w:r>
      <w:r w:rsidRPr="00493BB7">
        <w:rPr>
          <w:rFonts w:asciiTheme="majorBidi" w:hAnsiTheme="majorBidi" w:cstheme="majorBidi"/>
          <w:color w:val="000000" w:themeColor="text1"/>
        </w:rPr>
        <w:t>&lt;http://www.unesco.org/new/en/culture/themes/restitution-of-cultural-property/return-or-restitution-cases/&gt; (Accessed: 12 November 2016)</w:t>
      </w:r>
      <w:r>
        <w:rPr>
          <w:rFonts w:asciiTheme="majorBidi" w:hAnsiTheme="majorBidi" w:cstheme="majorBidi"/>
          <w:color w:val="000000" w:themeColor="text1"/>
        </w:rPr>
        <w:t>.</w:t>
      </w:r>
    </w:p>
    <w:p w14:paraId="00DBAB7B"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54F8BF40" w14:textId="2147BB22" w:rsidR="002F72B8"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United Nations Educational, Scientific and </w:t>
      </w:r>
      <w:r w:rsidRPr="007F751A">
        <w:rPr>
          <w:rFonts w:asciiTheme="majorBidi" w:hAnsiTheme="majorBidi" w:cstheme="majorBidi"/>
          <w:color w:val="000000" w:themeColor="text1"/>
        </w:rPr>
        <w:t>C</w:t>
      </w:r>
      <w:r>
        <w:rPr>
          <w:rFonts w:asciiTheme="majorBidi" w:hAnsiTheme="majorBidi" w:cstheme="majorBidi"/>
        </w:rPr>
        <w:t xml:space="preserve">ultural Organization. </w:t>
      </w:r>
      <w:r w:rsidRPr="007F751A">
        <w:rPr>
          <w:rFonts w:asciiTheme="majorBidi" w:hAnsiTheme="majorBidi" w:cstheme="majorBidi"/>
          <w:i/>
          <w:iCs/>
        </w:rPr>
        <w:t>The Fight against the Illicit Trafficking of Cultural Objects: The 1970 Convention: Past and Future</w:t>
      </w:r>
      <w:r w:rsidRPr="007F751A">
        <w:rPr>
          <w:rFonts w:asciiTheme="majorBidi" w:hAnsiTheme="majorBidi" w:cstheme="majorBidi"/>
        </w:rPr>
        <w:t>. Paris: UNESCO, 2011.</w:t>
      </w:r>
    </w:p>
    <w:p w14:paraId="064E517F" w14:textId="77777777" w:rsidR="00FD222F" w:rsidRDefault="00FD222F" w:rsidP="0097056E">
      <w:pPr>
        <w:pStyle w:val="FootnoteText"/>
        <w:rPr>
          <w:rFonts w:asciiTheme="majorBidi" w:hAnsiTheme="majorBidi" w:cstheme="majorBidi"/>
        </w:rPr>
      </w:pPr>
    </w:p>
    <w:p w14:paraId="65CDD07E" w14:textId="77777777" w:rsidR="002F72B8" w:rsidRPr="00366874" w:rsidRDefault="002F72B8" w:rsidP="0097056E">
      <w:pPr>
        <w:pStyle w:val="FootnoteText"/>
        <w:rPr>
          <w:rFonts w:asciiTheme="majorBidi" w:hAnsiTheme="majorBidi" w:cstheme="majorBidi"/>
        </w:rPr>
      </w:pPr>
      <w:r w:rsidRPr="00366874">
        <w:rPr>
          <w:rFonts w:asciiTheme="majorBidi" w:hAnsiTheme="majorBidi" w:cstheme="majorBidi"/>
        </w:rPr>
        <w:t xml:space="preserve">United States Department of State. “U.S.-Italy Cultural Property Agreement: Memorandum of </w:t>
      </w:r>
    </w:p>
    <w:p w14:paraId="23C44E3D" w14:textId="77777777" w:rsidR="002F72B8" w:rsidRPr="00366874" w:rsidRDefault="002F72B8" w:rsidP="0097056E">
      <w:pPr>
        <w:pStyle w:val="FootnoteText"/>
        <w:ind w:left="720"/>
        <w:rPr>
          <w:rFonts w:asciiTheme="majorBidi" w:hAnsiTheme="majorBidi" w:cstheme="majorBidi"/>
        </w:rPr>
      </w:pPr>
      <w:r w:rsidRPr="00366874">
        <w:rPr>
          <w:rFonts w:asciiTheme="majorBidi" w:hAnsiTheme="majorBidi" w:cstheme="majorBidi"/>
        </w:rPr>
        <w:t xml:space="preserve">Understanding between the United States and Italy,” </w:t>
      </w:r>
      <w:r w:rsidRPr="00366874">
        <w:rPr>
          <w:rFonts w:asciiTheme="majorBidi" w:hAnsiTheme="majorBidi" w:cstheme="majorBidi"/>
          <w:i/>
          <w:iCs/>
        </w:rPr>
        <w:t xml:space="preserve">Bureau of Educational and Cultural Affairs, </w:t>
      </w:r>
      <w:r w:rsidRPr="00366874">
        <w:rPr>
          <w:rFonts w:asciiTheme="majorBidi" w:hAnsiTheme="majorBidi" w:cstheme="majorBidi"/>
        </w:rPr>
        <w:t>19 January 2001, &lt; https://eca.state.gov/cultural-heritage-center/cultural-property-protection/bilateral-agreements/italy/us-italy&gt; (Accessed: 27 February 2017).</w:t>
      </w:r>
    </w:p>
    <w:p w14:paraId="05993761" w14:textId="77777777" w:rsidR="00FD222F" w:rsidRDefault="00FD222F" w:rsidP="0097056E">
      <w:pPr>
        <w:widowControl w:val="0"/>
        <w:autoSpaceDE w:val="0"/>
        <w:autoSpaceDN w:val="0"/>
        <w:adjustRightInd w:val="0"/>
        <w:rPr>
          <w:rFonts w:ascii="Times New Roman" w:hAnsi="Times New Roman" w:cs="Times New Roman"/>
        </w:rPr>
      </w:pPr>
    </w:p>
    <w:p w14:paraId="3CFA332E" w14:textId="57E2D401" w:rsidR="002F72B8" w:rsidRDefault="002F72B8" w:rsidP="0097056E">
      <w:pPr>
        <w:widowControl w:val="0"/>
        <w:autoSpaceDE w:val="0"/>
        <w:autoSpaceDN w:val="0"/>
        <w:adjustRightInd w:val="0"/>
        <w:rPr>
          <w:rFonts w:ascii="Times New Roman" w:hAnsi="Times New Roman" w:cs="Times New Roman"/>
        </w:rPr>
      </w:pPr>
      <w:r w:rsidRPr="00C36E0D">
        <w:rPr>
          <w:rFonts w:ascii="Times New Roman" w:hAnsi="Times New Roman" w:cs="Times New Roman"/>
        </w:rPr>
        <w:t xml:space="preserve">The United States of America and Italy. “Memorandum of Understanding: Cultural Property,” 13 </w:t>
      </w:r>
    </w:p>
    <w:p w14:paraId="658A4E51" w14:textId="77777777" w:rsidR="002F72B8" w:rsidRPr="00C36E0D" w:rsidRDefault="002F72B8" w:rsidP="0097056E">
      <w:pPr>
        <w:widowControl w:val="0"/>
        <w:autoSpaceDE w:val="0"/>
        <w:autoSpaceDN w:val="0"/>
        <w:adjustRightInd w:val="0"/>
        <w:ind w:firstLine="720"/>
        <w:rPr>
          <w:rFonts w:asciiTheme="majorBidi" w:hAnsiTheme="majorBidi" w:cstheme="majorBidi"/>
          <w:color w:val="000000"/>
        </w:rPr>
      </w:pPr>
      <w:r w:rsidRPr="00C36E0D">
        <w:rPr>
          <w:rFonts w:ascii="Times New Roman" w:hAnsi="Times New Roman" w:cs="Times New Roman"/>
        </w:rPr>
        <w:t>January 2006.</w:t>
      </w:r>
    </w:p>
    <w:p w14:paraId="61EE32BA" w14:textId="77777777" w:rsidR="00FD222F" w:rsidRDefault="00FD222F" w:rsidP="0097056E">
      <w:pPr>
        <w:rPr>
          <w:rFonts w:asciiTheme="majorBidi" w:eastAsia="Times New Roman" w:hAnsiTheme="majorBidi" w:cstheme="majorBidi"/>
        </w:rPr>
      </w:pPr>
    </w:p>
    <w:p w14:paraId="05EB54C4" w14:textId="77777777" w:rsidR="002F72B8" w:rsidRPr="00366874" w:rsidRDefault="002F72B8" w:rsidP="0097056E">
      <w:pPr>
        <w:rPr>
          <w:rFonts w:asciiTheme="majorBidi" w:eastAsia="Times New Roman" w:hAnsiTheme="majorBidi" w:cstheme="majorBidi"/>
          <w:i/>
          <w:iCs/>
        </w:rPr>
      </w:pPr>
      <w:r w:rsidRPr="00366874">
        <w:rPr>
          <w:rFonts w:asciiTheme="majorBidi" w:eastAsia="Times New Roman" w:hAnsiTheme="majorBidi" w:cstheme="majorBidi"/>
        </w:rPr>
        <w:t xml:space="preserve">Wood, Elisabeth Jean. “The Ethical Challenges of Field Research in Conflict Zones,” </w:t>
      </w:r>
      <w:r w:rsidRPr="00366874">
        <w:rPr>
          <w:rFonts w:asciiTheme="majorBidi" w:eastAsia="Times New Roman" w:hAnsiTheme="majorBidi" w:cstheme="majorBidi"/>
          <w:i/>
          <w:iCs/>
        </w:rPr>
        <w:t xml:space="preserve">Qual </w:t>
      </w:r>
    </w:p>
    <w:p w14:paraId="301FA6CA" w14:textId="77777777" w:rsidR="002F72B8" w:rsidRPr="00366874" w:rsidRDefault="002F72B8" w:rsidP="0097056E">
      <w:pPr>
        <w:ind w:firstLine="720"/>
        <w:rPr>
          <w:rFonts w:asciiTheme="majorBidi" w:eastAsia="Times New Roman" w:hAnsiTheme="majorBidi" w:cstheme="majorBidi"/>
        </w:rPr>
      </w:pPr>
      <w:r w:rsidRPr="00366874">
        <w:rPr>
          <w:rFonts w:asciiTheme="majorBidi" w:eastAsia="Times New Roman" w:hAnsiTheme="majorBidi" w:cstheme="majorBidi"/>
          <w:i/>
          <w:iCs/>
        </w:rPr>
        <w:t xml:space="preserve">Sociol </w:t>
      </w:r>
      <w:r w:rsidRPr="00366874">
        <w:rPr>
          <w:rFonts w:asciiTheme="majorBidi" w:eastAsia="Times New Roman" w:hAnsiTheme="majorBidi" w:cstheme="majorBidi"/>
        </w:rPr>
        <w:t>29, (2006), 373-386.</w:t>
      </w:r>
    </w:p>
    <w:p w14:paraId="0A1CE3C4" w14:textId="77777777" w:rsidR="00FD222F" w:rsidRDefault="00FD222F" w:rsidP="0097056E">
      <w:pPr>
        <w:widowControl w:val="0"/>
        <w:autoSpaceDE w:val="0"/>
        <w:autoSpaceDN w:val="0"/>
        <w:adjustRightInd w:val="0"/>
        <w:ind w:left="720" w:hanging="720"/>
        <w:rPr>
          <w:rFonts w:asciiTheme="majorBidi" w:hAnsiTheme="majorBidi" w:cstheme="majorBidi"/>
        </w:rPr>
      </w:pPr>
    </w:p>
    <w:p w14:paraId="494E6714" w14:textId="33EBFD3C" w:rsidR="002F72B8" w:rsidRPr="007F751A" w:rsidRDefault="002F72B8" w:rsidP="0097056E">
      <w:pPr>
        <w:widowControl w:val="0"/>
        <w:autoSpaceDE w:val="0"/>
        <w:autoSpaceDN w:val="0"/>
        <w:adjustRightInd w:val="0"/>
        <w:ind w:left="720" w:hanging="720"/>
        <w:rPr>
          <w:rFonts w:asciiTheme="majorBidi" w:hAnsiTheme="majorBidi" w:cstheme="majorBidi"/>
        </w:rPr>
      </w:pPr>
      <w:r w:rsidRPr="007F751A">
        <w:rPr>
          <w:rFonts w:asciiTheme="majorBidi" w:hAnsiTheme="majorBidi" w:cstheme="majorBidi"/>
        </w:rPr>
        <w:t xml:space="preserve">Wood, Paul. "Display, Restitution and World Art History: The Case of the ‘Benin Bronzes’," </w:t>
      </w:r>
      <w:r w:rsidRPr="007F751A">
        <w:rPr>
          <w:rFonts w:asciiTheme="majorBidi" w:hAnsiTheme="majorBidi" w:cstheme="majorBidi"/>
          <w:i/>
          <w:iCs/>
        </w:rPr>
        <w:t>Visual Culture in Britain</w:t>
      </w:r>
      <w:r w:rsidRPr="007F751A">
        <w:rPr>
          <w:rFonts w:asciiTheme="majorBidi" w:hAnsiTheme="majorBidi" w:cstheme="majorBidi"/>
        </w:rPr>
        <w:t xml:space="preserve"> 13, no. 1 (2012): 115-137.</w:t>
      </w:r>
    </w:p>
    <w:p w14:paraId="115A7E38" w14:textId="77777777" w:rsidR="00FD222F" w:rsidRDefault="00FD222F" w:rsidP="0097056E">
      <w:pPr>
        <w:widowControl w:val="0"/>
        <w:autoSpaceDE w:val="0"/>
        <w:autoSpaceDN w:val="0"/>
        <w:adjustRightInd w:val="0"/>
        <w:ind w:left="720" w:hanging="720"/>
        <w:rPr>
          <w:rFonts w:asciiTheme="majorBidi" w:hAnsiTheme="majorBidi" w:cstheme="majorBidi"/>
          <w:color w:val="000000" w:themeColor="text1"/>
        </w:rPr>
      </w:pPr>
    </w:p>
    <w:p w14:paraId="5FD53FFB" w14:textId="7F5EBC96" w:rsidR="002F72B8" w:rsidRDefault="002F72B8" w:rsidP="0097056E">
      <w:pPr>
        <w:widowControl w:val="0"/>
        <w:autoSpaceDE w:val="0"/>
        <w:autoSpaceDN w:val="0"/>
        <w:adjustRightInd w:val="0"/>
        <w:ind w:left="720" w:hanging="720"/>
        <w:rPr>
          <w:rFonts w:asciiTheme="majorBidi" w:hAnsiTheme="majorBidi" w:cstheme="majorBidi"/>
          <w:color w:val="000000" w:themeColor="text1"/>
        </w:rPr>
      </w:pPr>
      <w:r w:rsidRPr="007F751A">
        <w:rPr>
          <w:rFonts w:asciiTheme="majorBidi" w:hAnsiTheme="majorBidi" w:cstheme="majorBidi"/>
          <w:color w:val="000000" w:themeColor="text1"/>
        </w:rPr>
        <w:t xml:space="preserve">Yates, Donna. “Church Theft, Insecurity, and Community Justice: The Reality of Source-End Regulation of the Market for Illicit Bolivian Cultural Objects,” </w:t>
      </w:r>
      <w:r w:rsidRPr="007F751A">
        <w:rPr>
          <w:rFonts w:asciiTheme="majorBidi" w:hAnsiTheme="majorBidi" w:cstheme="majorBidi"/>
          <w:i/>
          <w:iCs/>
          <w:color w:val="000000" w:themeColor="text1"/>
        </w:rPr>
        <w:t xml:space="preserve">European Journal on </w:t>
      </w:r>
      <w:r w:rsidRPr="007F751A">
        <w:rPr>
          <w:rFonts w:asciiTheme="majorBidi" w:hAnsiTheme="majorBidi" w:cstheme="majorBidi"/>
          <w:i/>
          <w:iCs/>
          <w:color w:val="000000" w:themeColor="text1"/>
        </w:rPr>
        <w:lastRenderedPageBreak/>
        <w:t>Criminal Policy and Research</w:t>
      </w:r>
      <w:r w:rsidRPr="007F751A">
        <w:rPr>
          <w:rFonts w:asciiTheme="majorBidi" w:hAnsiTheme="majorBidi" w:cstheme="majorBidi"/>
          <w:color w:val="000000" w:themeColor="text1"/>
        </w:rPr>
        <w:t xml:space="preserve"> 20, no. 20 (December 2014), 445-457.</w:t>
      </w:r>
    </w:p>
    <w:p w14:paraId="57A8DDAB" w14:textId="77777777" w:rsidR="00FD222F" w:rsidRDefault="00FD222F" w:rsidP="0097056E">
      <w:pPr>
        <w:pStyle w:val="FootnoteText"/>
        <w:rPr>
          <w:rFonts w:asciiTheme="majorBidi" w:hAnsiTheme="majorBidi" w:cstheme="majorBidi"/>
        </w:rPr>
      </w:pPr>
    </w:p>
    <w:p w14:paraId="13047899" w14:textId="7075C5DE" w:rsidR="002F72B8" w:rsidRPr="00366874" w:rsidRDefault="002F72B8" w:rsidP="0097056E">
      <w:pPr>
        <w:pStyle w:val="FootnoteText"/>
        <w:rPr>
          <w:rFonts w:asciiTheme="majorBidi" w:hAnsiTheme="majorBidi" w:cstheme="majorBidi"/>
        </w:rPr>
      </w:pPr>
      <w:r w:rsidRPr="00366874">
        <w:rPr>
          <w:rFonts w:asciiTheme="majorBidi" w:hAnsiTheme="majorBidi" w:cstheme="majorBidi"/>
        </w:rPr>
        <w:t xml:space="preserve">Zengin, Bugra and Isil Gunseli Kacar. “Turkish EFL Academicians’ Problems Concerning </w:t>
      </w:r>
    </w:p>
    <w:p w14:paraId="3751276F" w14:textId="03686CFB" w:rsidR="002F72B8" w:rsidRDefault="002F72B8" w:rsidP="0097056E">
      <w:pPr>
        <w:pStyle w:val="FootnoteText"/>
        <w:ind w:left="720"/>
        <w:rPr>
          <w:rFonts w:asciiTheme="majorBidi" w:hAnsiTheme="majorBidi" w:cstheme="majorBidi"/>
        </w:rPr>
      </w:pPr>
      <w:r w:rsidRPr="00366874">
        <w:rPr>
          <w:rFonts w:asciiTheme="majorBidi" w:hAnsiTheme="majorBidi" w:cstheme="majorBidi"/>
        </w:rPr>
        <w:t xml:space="preserve">Translation Activities and Practices, Attitudes Towards the Use of Online and Printed Translation Tools, And Suggestions for Quality Translation Practice,” </w:t>
      </w:r>
      <w:r w:rsidRPr="00366874">
        <w:rPr>
          <w:rFonts w:asciiTheme="majorBidi" w:hAnsiTheme="majorBidi" w:cstheme="majorBidi"/>
          <w:i/>
          <w:iCs/>
        </w:rPr>
        <w:t>The Turkish Online Journal of Educational Technology</w:t>
      </w:r>
      <w:r w:rsidRPr="00366874">
        <w:rPr>
          <w:rFonts w:asciiTheme="majorBidi" w:hAnsiTheme="majorBidi" w:cstheme="majorBidi"/>
        </w:rPr>
        <w:t xml:space="preserve"> 10, no. 2 (April 2011), 274.</w:t>
      </w:r>
    </w:p>
    <w:p w14:paraId="0A1853FC" w14:textId="0F4E73F0" w:rsidR="00094B54" w:rsidRDefault="00094B54">
      <w:pPr>
        <w:rPr>
          <w:rFonts w:asciiTheme="majorBidi" w:hAnsiTheme="majorBidi" w:cstheme="majorBidi"/>
        </w:rPr>
      </w:pPr>
      <w:r>
        <w:rPr>
          <w:rFonts w:asciiTheme="majorBidi" w:hAnsiTheme="majorBidi" w:cstheme="majorBidi"/>
        </w:rPr>
        <w:br w:type="page"/>
      </w:r>
    </w:p>
    <w:p w14:paraId="6256C63F" w14:textId="77777777" w:rsidR="00A220DD" w:rsidRDefault="00A220DD">
      <w:pPr>
        <w:rPr>
          <w:rFonts w:asciiTheme="majorBidi" w:hAnsiTheme="majorBidi" w:cstheme="majorBidi"/>
          <w:b/>
          <w:bCs/>
        </w:rPr>
      </w:pPr>
      <w:r>
        <w:rPr>
          <w:rFonts w:asciiTheme="majorBidi" w:hAnsiTheme="majorBidi" w:cstheme="majorBidi"/>
          <w:b/>
          <w:bCs/>
        </w:rPr>
        <w:lastRenderedPageBreak/>
        <w:t>Appendix 1, Selected</w:t>
      </w:r>
    </w:p>
    <w:p w14:paraId="464452ED" w14:textId="77777777" w:rsidR="00A220DD" w:rsidRDefault="00A220DD">
      <w:pPr>
        <w:rPr>
          <w:rFonts w:asciiTheme="majorBidi" w:hAnsiTheme="majorBidi" w:cstheme="majorBidi"/>
          <w:b/>
          <w:bCs/>
        </w:rPr>
      </w:pPr>
    </w:p>
    <w:tbl>
      <w:tblPr>
        <w:tblStyle w:val="TableGrid"/>
        <w:tblW w:w="0" w:type="auto"/>
        <w:tblLook w:val="04A0" w:firstRow="1" w:lastRow="0" w:firstColumn="1" w:lastColumn="0" w:noHBand="0" w:noVBand="1"/>
      </w:tblPr>
      <w:tblGrid>
        <w:gridCol w:w="1165"/>
        <w:gridCol w:w="8185"/>
      </w:tblGrid>
      <w:tr w:rsidR="002E7189" w14:paraId="3E9FD327" w14:textId="77777777" w:rsidTr="00A220DD">
        <w:tc>
          <w:tcPr>
            <w:tcW w:w="1165" w:type="dxa"/>
          </w:tcPr>
          <w:p w14:paraId="1176CB88" w14:textId="3EB1E95A" w:rsidR="00A220DD" w:rsidRPr="00A220DD" w:rsidRDefault="00A220DD" w:rsidP="00A220DD">
            <w:pPr>
              <w:rPr>
                <w:rFonts w:asciiTheme="majorBidi" w:hAnsiTheme="majorBidi" w:cstheme="majorBidi"/>
              </w:rPr>
            </w:pPr>
            <w:r w:rsidRPr="00A220DD">
              <w:rPr>
                <w:rFonts w:asciiTheme="majorBidi" w:hAnsiTheme="majorBidi" w:cstheme="majorBidi"/>
              </w:rPr>
              <w:t>1.1</w:t>
            </w:r>
            <w:r w:rsidR="006F4E72">
              <w:rPr>
                <w:rFonts w:asciiTheme="majorBidi" w:hAnsiTheme="majorBidi" w:cstheme="majorBidi"/>
              </w:rPr>
              <w:t xml:space="preserve"> </w:t>
            </w:r>
            <w:r w:rsidR="00730810">
              <w:rPr>
                <w:rStyle w:val="FootnoteReference"/>
                <w:rFonts w:asciiTheme="majorBidi" w:hAnsiTheme="majorBidi" w:cstheme="majorBidi"/>
              </w:rPr>
              <w:footnoteReference w:id="94"/>
            </w:r>
          </w:p>
        </w:tc>
        <w:tc>
          <w:tcPr>
            <w:tcW w:w="8185" w:type="dxa"/>
          </w:tcPr>
          <w:p w14:paraId="156AD5FC" w14:textId="5C52651A" w:rsidR="00A220DD" w:rsidRDefault="00730810" w:rsidP="00A220DD">
            <w:pPr>
              <w:rPr>
                <w:rFonts w:asciiTheme="majorBidi" w:hAnsiTheme="majorBidi" w:cstheme="majorBidi"/>
                <w:b/>
                <w:bCs/>
              </w:rPr>
            </w:pPr>
            <w:r>
              <w:rPr>
                <w:rFonts w:asciiTheme="majorBidi" w:hAnsiTheme="majorBidi" w:cstheme="majorBidi"/>
                <w:b/>
                <w:bCs/>
                <w:noProof/>
              </w:rPr>
              <w:drawing>
                <wp:inline distT="0" distB="0" distL="0" distR="0" wp14:anchorId="4CB39E00" wp14:editId="0F965A36">
                  <wp:extent cx="1758639" cy="1942770"/>
                  <wp:effectExtent l="0" t="0" r="0" b="0"/>
                  <wp:docPr id="13" name="Picture 13" descr="../../../../../Desktop/Screen%20Shot%202017-05-03%20at%201.04.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03%20at%201.04.13%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104" cy="1962064"/>
                          </a:xfrm>
                          <a:prstGeom prst="rect">
                            <a:avLst/>
                          </a:prstGeom>
                          <a:noFill/>
                          <a:ln>
                            <a:noFill/>
                          </a:ln>
                        </pic:spPr>
                      </pic:pic>
                    </a:graphicData>
                  </a:graphic>
                </wp:inline>
              </w:drawing>
            </w:r>
          </w:p>
        </w:tc>
      </w:tr>
      <w:tr w:rsidR="002E7189" w14:paraId="6EA2C689" w14:textId="77777777" w:rsidTr="00A220DD">
        <w:tc>
          <w:tcPr>
            <w:tcW w:w="1165" w:type="dxa"/>
          </w:tcPr>
          <w:p w14:paraId="14745843" w14:textId="4A51F025" w:rsidR="00A220DD" w:rsidRPr="00A220DD" w:rsidRDefault="00730810">
            <w:pPr>
              <w:rPr>
                <w:rFonts w:asciiTheme="majorBidi" w:hAnsiTheme="majorBidi" w:cstheme="majorBidi"/>
              </w:rPr>
            </w:pPr>
            <w:r>
              <w:rPr>
                <w:rFonts w:asciiTheme="majorBidi" w:hAnsiTheme="majorBidi" w:cstheme="majorBidi"/>
              </w:rPr>
              <w:t>1.2</w:t>
            </w:r>
            <w:r w:rsidR="006F4E72">
              <w:rPr>
                <w:rFonts w:asciiTheme="majorBidi" w:hAnsiTheme="majorBidi" w:cstheme="majorBidi"/>
              </w:rPr>
              <w:t xml:space="preserve"> </w:t>
            </w:r>
            <w:r>
              <w:rPr>
                <w:rStyle w:val="FootnoteReference"/>
                <w:rFonts w:asciiTheme="majorBidi" w:hAnsiTheme="majorBidi" w:cstheme="majorBidi"/>
              </w:rPr>
              <w:footnoteReference w:id="95"/>
            </w:r>
          </w:p>
        </w:tc>
        <w:tc>
          <w:tcPr>
            <w:tcW w:w="8185" w:type="dxa"/>
          </w:tcPr>
          <w:p w14:paraId="4E6AB4B1" w14:textId="3CC64585" w:rsidR="00A220DD" w:rsidRDefault="00730810">
            <w:pPr>
              <w:rPr>
                <w:rFonts w:asciiTheme="majorBidi" w:hAnsiTheme="majorBidi" w:cstheme="majorBidi"/>
                <w:b/>
                <w:bCs/>
              </w:rPr>
            </w:pPr>
            <w:r>
              <w:rPr>
                <w:rFonts w:asciiTheme="majorBidi" w:hAnsiTheme="majorBidi" w:cstheme="majorBidi"/>
                <w:b/>
                <w:bCs/>
                <w:noProof/>
              </w:rPr>
              <w:drawing>
                <wp:inline distT="0" distB="0" distL="0" distR="0" wp14:anchorId="749E5846" wp14:editId="0C1D76FD">
                  <wp:extent cx="1712873" cy="2383385"/>
                  <wp:effectExtent l="0" t="0" r="0" b="4445"/>
                  <wp:docPr id="17" name="Picture 17" descr="../../../../../Desktop/Screen%20Shot%202017-05-03%20at%201.05.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03%20at%201.05.33%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082" cy="2410114"/>
                          </a:xfrm>
                          <a:prstGeom prst="rect">
                            <a:avLst/>
                          </a:prstGeom>
                          <a:noFill/>
                          <a:ln>
                            <a:noFill/>
                          </a:ln>
                        </pic:spPr>
                      </pic:pic>
                    </a:graphicData>
                  </a:graphic>
                </wp:inline>
              </w:drawing>
            </w:r>
          </w:p>
        </w:tc>
      </w:tr>
      <w:tr w:rsidR="00730810" w14:paraId="35BB9635" w14:textId="77777777" w:rsidTr="00A220DD">
        <w:tc>
          <w:tcPr>
            <w:tcW w:w="1165" w:type="dxa"/>
          </w:tcPr>
          <w:p w14:paraId="75629FBD" w14:textId="44769C19" w:rsidR="00730810" w:rsidRDefault="00730810">
            <w:pPr>
              <w:rPr>
                <w:rFonts w:asciiTheme="majorBidi" w:hAnsiTheme="majorBidi" w:cstheme="majorBidi"/>
              </w:rPr>
            </w:pPr>
            <w:r>
              <w:rPr>
                <w:rFonts w:asciiTheme="majorBidi" w:hAnsiTheme="majorBidi" w:cstheme="majorBidi"/>
              </w:rPr>
              <w:t>1.3</w:t>
            </w:r>
            <w:r w:rsidR="006F4E72">
              <w:rPr>
                <w:rFonts w:asciiTheme="majorBidi" w:hAnsiTheme="majorBidi" w:cstheme="majorBidi"/>
              </w:rPr>
              <w:t xml:space="preserve"> </w:t>
            </w:r>
            <w:r>
              <w:rPr>
                <w:rStyle w:val="FootnoteReference"/>
                <w:rFonts w:asciiTheme="majorBidi" w:hAnsiTheme="majorBidi" w:cstheme="majorBidi"/>
              </w:rPr>
              <w:footnoteReference w:id="96"/>
            </w:r>
          </w:p>
        </w:tc>
        <w:tc>
          <w:tcPr>
            <w:tcW w:w="8185" w:type="dxa"/>
          </w:tcPr>
          <w:p w14:paraId="639712DD" w14:textId="49680584" w:rsidR="00730810" w:rsidRDefault="00730810">
            <w:pPr>
              <w:rPr>
                <w:rFonts w:asciiTheme="majorBidi" w:hAnsiTheme="majorBidi" w:cstheme="majorBidi"/>
                <w:b/>
                <w:bCs/>
                <w:noProof/>
              </w:rPr>
            </w:pPr>
            <w:r>
              <w:rPr>
                <w:rFonts w:asciiTheme="majorBidi" w:hAnsiTheme="majorBidi" w:cstheme="majorBidi"/>
                <w:b/>
                <w:bCs/>
                <w:noProof/>
              </w:rPr>
              <w:drawing>
                <wp:inline distT="0" distB="0" distL="0" distR="0" wp14:anchorId="147EADDE" wp14:editId="4B065368">
                  <wp:extent cx="2072051" cy="2278812"/>
                  <wp:effectExtent l="0" t="0" r="10795" b="7620"/>
                  <wp:docPr id="18" name="Picture 18" descr="../../../../../Desktop/Screen%20Shot%202017-05-03%20at%201.07.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5-03%20at%201.07.54%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916" cy="2302859"/>
                          </a:xfrm>
                          <a:prstGeom prst="rect">
                            <a:avLst/>
                          </a:prstGeom>
                          <a:noFill/>
                          <a:ln>
                            <a:noFill/>
                          </a:ln>
                        </pic:spPr>
                      </pic:pic>
                    </a:graphicData>
                  </a:graphic>
                </wp:inline>
              </w:drawing>
            </w:r>
          </w:p>
        </w:tc>
      </w:tr>
      <w:tr w:rsidR="00730810" w14:paraId="0F33A0E7" w14:textId="77777777" w:rsidTr="00A220DD">
        <w:tc>
          <w:tcPr>
            <w:tcW w:w="1165" w:type="dxa"/>
          </w:tcPr>
          <w:p w14:paraId="662C1E5B" w14:textId="154F5110" w:rsidR="00730810" w:rsidRDefault="00730810">
            <w:pPr>
              <w:rPr>
                <w:rFonts w:asciiTheme="majorBidi" w:hAnsiTheme="majorBidi" w:cstheme="majorBidi"/>
              </w:rPr>
            </w:pPr>
            <w:r>
              <w:rPr>
                <w:rFonts w:asciiTheme="majorBidi" w:hAnsiTheme="majorBidi" w:cstheme="majorBidi"/>
              </w:rPr>
              <w:lastRenderedPageBreak/>
              <w:t>1.4</w:t>
            </w:r>
            <w:r w:rsidR="006F4E72">
              <w:rPr>
                <w:rFonts w:asciiTheme="majorBidi" w:hAnsiTheme="majorBidi" w:cstheme="majorBidi"/>
              </w:rPr>
              <w:t xml:space="preserve"> </w:t>
            </w:r>
            <w:r>
              <w:rPr>
                <w:rStyle w:val="FootnoteReference"/>
                <w:rFonts w:asciiTheme="majorBidi" w:hAnsiTheme="majorBidi" w:cstheme="majorBidi"/>
              </w:rPr>
              <w:footnoteReference w:id="97"/>
            </w:r>
          </w:p>
        </w:tc>
        <w:tc>
          <w:tcPr>
            <w:tcW w:w="8185" w:type="dxa"/>
          </w:tcPr>
          <w:p w14:paraId="4595643F" w14:textId="69319D92" w:rsidR="00730810" w:rsidRDefault="00730810"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02C171BB" wp14:editId="70D2AC18">
                  <wp:extent cx="2078105" cy="2278812"/>
                  <wp:effectExtent l="0" t="0" r="5080" b="7620"/>
                  <wp:docPr id="20" name="Picture 20" descr="../../../../../Desktop/Screen%20Shot%202017-05-03%20at%201.12.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5-03%20at%201.12.38%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080" cy="2309489"/>
                          </a:xfrm>
                          <a:prstGeom prst="rect">
                            <a:avLst/>
                          </a:prstGeom>
                          <a:noFill/>
                          <a:ln>
                            <a:noFill/>
                          </a:ln>
                        </pic:spPr>
                      </pic:pic>
                    </a:graphicData>
                  </a:graphic>
                </wp:inline>
              </w:drawing>
            </w:r>
            <w:r>
              <w:rPr>
                <w:rFonts w:asciiTheme="majorBidi" w:hAnsiTheme="majorBidi" w:cstheme="majorBidi"/>
                <w:b/>
                <w:bCs/>
                <w:noProof/>
              </w:rPr>
              <w:tab/>
            </w:r>
          </w:p>
        </w:tc>
      </w:tr>
      <w:tr w:rsidR="002E7189" w14:paraId="14E06233" w14:textId="77777777" w:rsidTr="00A220DD">
        <w:tc>
          <w:tcPr>
            <w:tcW w:w="1165" w:type="dxa"/>
          </w:tcPr>
          <w:p w14:paraId="00F6474C" w14:textId="1EE58E75" w:rsidR="002E7189" w:rsidRDefault="002E7189">
            <w:pPr>
              <w:rPr>
                <w:rFonts w:asciiTheme="majorBidi" w:hAnsiTheme="majorBidi" w:cstheme="majorBidi"/>
              </w:rPr>
            </w:pPr>
            <w:r>
              <w:rPr>
                <w:rFonts w:asciiTheme="majorBidi" w:hAnsiTheme="majorBidi" w:cstheme="majorBidi"/>
              </w:rPr>
              <w:t>1.5</w:t>
            </w:r>
            <w:r w:rsidR="006F4E72">
              <w:rPr>
                <w:rFonts w:asciiTheme="majorBidi" w:hAnsiTheme="majorBidi" w:cstheme="majorBidi"/>
              </w:rPr>
              <w:t xml:space="preserve"> </w:t>
            </w:r>
            <w:r>
              <w:rPr>
                <w:rStyle w:val="FootnoteReference"/>
                <w:rFonts w:asciiTheme="majorBidi" w:hAnsiTheme="majorBidi" w:cstheme="majorBidi"/>
              </w:rPr>
              <w:footnoteReference w:id="98"/>
            </w:r>
          </w:p>
        </w:tc>
        <w:tc>
          <w:tcPr>
            <w:tcW w:w="8185" w:type="dxa"/>
          </w:tcPr>
          <w:p w14:paraId="0319EE87" w14:textId="3E859BE3" w:rsidR="002E7189" w:rsidRDefault="002E7189"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22B5A12E" wp14:editId="24B0FA64">
                  <wp:extent cx="1994793" cy="2393112"/>
                  <wp:effectExtent l="0" t="0" r="12065" b="0"/>
                  <wp:docPr id="21" name="Picture 21" descr="../../../../../Desktop/Screen%20Shot%202017-05-03%20at%201.15.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5-03%20at%201.15.2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4168" cy="2416356"/>
                          </a:xfrm>
                          <a:prstGeom prst="rect">
                            <a:avLst/>
                          </a:prstGeom>
                          <a:noFill/>
                          <a:ln>
                            <a:noFill/>
                          </a:ln>
                        </pic:spPr>
                      </pic:pic>
                    </a:graphicData>
                  </a:graphic>
                </wp:inline>
              </w:drawing>
            </w:r>
          </w:p>
        </w:tc>
      </w:tr>
      <w:tr w:rsidR="002E7189" w14:paraId="0880B9E2" w14:textId="77777777" w:rsidTr="00A220DD">
        <w:tc>
          <w:tcPr>
            <w:tcW w:w="1165" w:type="dxa"/>
          </w:tcPr>
          <w:p w14:paraId="5C9428D4" w14:textId="6796E875" w:rsidR="002E7189" w:rsidRDefault="002E7189">
            <w:pPr>
              <w:rPr>
                <w:rFonts w:asciiTheme="majorBidi" w:hAnsiTheme="majorBidi" w:cstheme="majorBidi"/>
              </w:rPr>
            </w:pPr>
            <w:r>
              <w:rPr>
                <w:rFonts w:asciiTheme="majorBidi" w:hAnsiTheme="majorBidi" w:cstheme="majorBidi"/>
              </w:rPr>
              <w:t>1.6</w:t>
            </w:r>
            <w:r w:rsidR="006F4E72">
              <w:rPr>
                <w:rFonts w:asciiTheme="majorBidi" w:hAnsiTheme="majorBidi" w:cstheme="majorBidi"/>
              </w:rPr>
              <w:t xml:space="preserve"> </w:t>
            </w:r>
            <w:r>
              <w:rPr>
                <w:rStyle w:val="FootnoteReference"/>
                <w:rFonts w:asciiTheme="majorBidi" w:hAnsiTheme="majorBidi" w:cstheme="majorBidi"/>
              </w:rPr>
              <w:footnoteReference w:id="99"/>
            </w:r>
          </w:p>
        </w:tc>
        <w:tc>
          <w:tcPr>
            <w:tcW w:w="8185" w:type="dxa"/>
          </w:tcPr>
          <w:p w14:paraId="3AEF46ED" w14:textId="487B5FD6" w:rsidR="002E7189" w:rsidRDefault="002E7189"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5BFD366B" wp14:editId="18731D0B">
                  <wp:extent cx="2097519" cy="1935912"/>
                  <wp:effectExtent l="0" t="0" r="10795" b="0"/>
                  <wp:docPr id="22" name="Picture 22" descr="../../../../../Desktop/Screen%20Shot%202017-05-03%20at%201.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5-03%20at%201.16.56%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2134" cy="1949401"/>
                          </a:xfrm>
                          <a:prstGeom prst="rect">
                            <a:avLst/>
                          </a:prstGeom>
                          <a:noFill/>
                          <a:ln>
                            <a:noFill/>
                          </a:ln>
                        </pic:spPr>
                      </pic:pic>
                    </a:graphicData>
                  </a:graphic>
                </wp:inline>
              </w:drawing>
            </w:r>
          </w:p>
        </w:tc>
      </w:tr>
      <w:tr w:rsidR="002E7189" w14:paraId="0AF588AB" w14:textId="77777777" w:rsidTr="00A220DD">
        <w:tc>
          <w:tcPr>
            <w:tcW w:w="1165" w:type="dxa"/>
          </w:tcPr>
          <w:p w14:paraId="798E3920" w14:textId="616A8FD7" w:rsidR="002E7189" w:rsidRDefault="002E7189">
            <w:pPr>
              <w:rPr>
                <w:rFonts w:asciiTheme="majorBidi" w:hAnsiTheme="majorBidi" w:cstheme="majorBidi"/>
              </w:rPr>
            </w:pPr>
            <w:r>
              <w:rPr>
                <w:rFonts w:asciiTheme="majorBidi" w:hAnsiTheme="majorBidi" w:cstheme="majorBidi"/>
              </w:rPr>
              <w:lastRenderedPageBreak/>
              <w:t>1.7</w:t>
            </w:r>
            <w:r w:rsidR="006F4E72">
              <w:rPr>
                <w:rFonts w:asciiTheme="majorBidi" w:hAnsiTheme="majorBidi" w:cstheme="majorBidi"/>
              </w:rPr>
              <w:t xml:space="preserve"> </w:t>
            </w:r>
            <w:r>
              <w:rPr>
                <w:rStyle w:val="FootnoteReference"/>
                <w:rFonts w:asciiTheme="majorBidi" w:hAnsiTheme="majorBidi" w:cstheme="majorBidi"/>
              </w:rPr>
              <w:footnoteReference w:id="100"/>
            </w:r>
          </w:p>
        </w:tc>
        <w:tc>
          <w:tcPr>
            <w:tcW w:w="8185" w:type="dxa"/>
          </w:tcPr>
          <w:p w14:paraId="60327669" w14:textId="6A1914CC" w:rsidR="002E7189" w:rsidRDefault="002E7189"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468FD77C" wp14:editId="69B81D10">
                  <wp:extent cx="1872939" cy="2063035"/>
                  <wp:effectExtent l="0" t="0" r="6985" b="0"/>
                  <wp:docPr id="23" name="Picture 23" descr="../../../../../Desktop/Screen%20Shot%202017-05-03%20at%201.17.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5-03%20at%201.17.41%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431" cy="2078998"/>
                          </a:xfrm>
                          <a:prstGeom prst="rect">
                            <a:avLst/>
                          </a:prstGeom>
                          <a:noFill/>
                          <a:ln>
                            <a:noFill/>
                          </a:ln>
                        </pic:spPr>
                      </pic:pic>
                    </a:graphicData>
                  </a:graphic>
                </wp:inline>
              </w:drawing>
            </w:r>
          </w:p>
        </w:tc>
      </w:tr>
      <w:tr w:rsidR="003F0E0F" w14:paraId="00F3A773" w14:textId="77777777" w:rsidTr="00A220DD">
        <w:tc>
          <w:tcPr>
            <w:tcW w:w="1165" w:type="dxa"/>
          </w:tcPr>
          <w:p w14:paraId="46BE6EB0" w14:textId="501D1354" w:rsidR="003F0E0F" w:rsidRDefault="003F0E0F">
            <w:pPr>
              <w:rPr>
                <w:rFonts w:asciiTheme="majorBidi" w:hAnsiTheme="majorBidi" w:cstheme="majorBidi"/>
              </w:rPr>
            </w:pPr>
            <w:r>
              <w:rPr>
                <w:rFonts w:asciiTheme="majorBidi" w:hAnsiTheme="majorBidi" w:cstheme="majorBidi"/>
              </w:rPr>
              <w:t>1.8</w:t>
            </w:r>
            <w:r w:rsidR="006F4E72">
              <w:rPr>
                <w:rFonts w:asciiTheme="majorBidi" w:hAnsiTheme="majorBidi" w:cstheme="majorBidi"/>
              </w:rPr>
              <w:t xml:space="preserve"> </w:t>
            </w:r>
            <w:r>
              <w:rPr>
                <w:rStyle w:val="FootnoteReference"/>
                <w:rFonts w:asciiTheme="majorBidi" w:hAnsiTheme="majorBidi" w:cstheme="majorBidi"/>
              </w:rPr>
              <w:footnoteReference w:id="101"/>
            </w:r>
          </w:p>
        </w:tc>
        <w:tc>
          <w:tcPr>
            <w:tcW w:w="8185" w:type="dxa"/>
          </w:tcPr>
          <w:p w14:paraId="12A938C5" w14:textId="2250991F" w:rsidR="003F0E0F" w:rsidRDefault="003F0E0F"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7CA918A1" wp14:editId="26FE3FBA">
                  <wp:extent cx="1788807" cy="2502549"/>
                  <wp:effectExtent l="0" t="0" r="0" b="12065"/>
                  <wp:docPr id="24" name="Picture 24" descr="../../../../../Desktop/Screen%20Shot%202017-05-03%20at%201.2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5-03%20at%201.23.2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323" cy="2520059"/>
                          </a:xfrm>
                          <a:prstGeom prst="rect">
                            <a:avLst/>
                          </a:prstGeom>
                          <a:noFill/>
                          <a:ln>
                            <a:noFill/>
                          </a:ln>
                        </pic:spPr>
                      </pic:pic>
                    </a:graphicData>
                  </a:graphic>
                </wp:inline>
              </w:drawing>
            </w:r>
          </w:p>
        </w:tc>
      </w:tr>
      <w:tr w:rsidR="002D296A" w14:paraId="02787FAA" w14:textId="77777777" w:rsidTr="00A220DD">
        <w:tc>
          <w:tcPr>
            <w:tcW w:w="1165" w:type="dxa"/>
          </w:tcPr>
          <w:p w14:paraId="3F46758E" w14:textId="067B70C2" w:rsidR="002D296A" w:rsidRDefault="002D296A">
            <w:pPr>
              <w:rPr>
                <w:rFonts w:asciiTheme="majorBidi" w:hAnsiTheme="majorBidi" w:cstheme="majorBidi"/>
              </w:rPr>
            </w:pPr>
            <w:r>
              <w:rPr>
                <w:rFonts w:asciiTheme="majorBidi" w:hAnsiTheme="majorBidi" w:cstheme="majorBidi"/>
              </w:rPr>
              <w:lastRenderedPageBreak/>
              <w:t>1.9</w:t>
            </w:r>
            <w:r w:rsidR="006F4E72">
              <w:rPr>
                <w:rFonts w:asciiTheme="majorBidi" w:hAnsiTheme="majorBidi" w:cstheme="majorBidi"/>
              </w:rPr>
              <w:t xml:space="preserve"> </w:t>
            </w:r>
            <w:r>
              <w:rPr>
                <w:rStyle w:val="FootnoteReference"/>
                <w:rFonts w:asciiTheme="majorBidi" w:hAnsiTheme="majorBidi" w:cstheme="majorBidi"/>
              </w:rPr>
              <w:footnoteReference w:id="102"/>
            </w:r>
          </w:p>
        </w:tc>
        <w:tc>
          <w:tcPr>
            <w:tcW w:w="8185" w:type="dxa"/>
          </w:tcPr>
          <w:p w14:paraId="0D1890D2" w14:textId="4B8E9CB7" w:rsidR="002D296A" w:rsidRDefault="002D296A"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1D08B143" wp14:editId="6BD3934A">
                  <wp:extent cx="2157708" cy="2507412"/>
                  <wp:effectExtent l="0" t="0" r="1905" b="7620"/>
                  <wp:docPr id="25" name="Picture 25" descr="../../../../../Desktop/Screen%20Shot%202017-05-03%20at%201.25.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5-03%20at%201.25.06%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790" cy="2529587"/>
                          </a:xfrm>
                          <a:prstGeom prst="rect">
                            <a:avLst/>
                          </a:prstGeom>
                          <a:noFill/>
                          <a:ln>
                            <a:noFill/>
                          </a:ln>
                        </pic:spPr>
                      </pic:pic>
                    </a:graphicData>
                  </a:graphic>
                </wp:inline>
              </w:drawing>
            </w:r>
          </w:p>
        </w:tc>
      </w:tr>
      <w:tr w:rsidR="0068425D" w14:paraId="1224214E" w14:textId="77777777" w:rsidTr="00A220DD">
        <w:tc>
          <w:tcPr>
            <w:tcW w:w="1165" w:type="dxa"/>
          </w:tcPr>
          <w:p w14:paraId="741FA067" w14:textId="0FA3EE00" w:rsidR="0068425D" w:rsidRDefault="0068425D">
            <w:pPr>
              <w:rPr>
                <w:rFonts w:asciiTheme="majorBidi" w:hAnsiTheme="majorBidi" w:cstheme="majorBidi"/>
              </w:rPr>
            </w:pPr>
            <w:r>
              <w:rPr>
                <w:rFonts w:asciiTheme="majorBidi" w:hAnsiTheme="majorBidi" w:cstheme="majorBidi"/>
              </w:rPr>
              <w:t>1.10</w:t>
            </w:r>
            <w:r w:rsidR="006F4E72">
              <w:rPr>
                <w:rFonts w:asciiTheme="majorBidi" w:hAnsiTheme="majorBidi" w:cstheme="majorBidi"/>
              </w:rPr>
              <w:t xml:space="preserve"> </w:t>
            </w:r>
            <w:r>
              <w:rPr>
                <w:rStyle w:val="FootnoteReference"/>
                <w:rFonts w:asciiTheme="majorBidi" w:hAnsiTheme="majorBidi" w:cstheme="majorBidi"/>
              </w:rPr>
              <w:footnoteReference w:id="103"/>
            </w:r>
          </w:p>
        </w:tc>
        <w:tc>
          <w:tcPr>
            <w:tcW w:w="8185" w:type="dxa"/>
          </w:tcPr>
          <w:p w14:paraId="7C598A86" w14:textId="3B7696DE" w:rsidR="0068425D" w:rsidRDefault="0068425D" w:rsidP="00730810">
            <w:pPr>
              <w:tabs>
                <w:tab w:val="left" w:pos="1501"/>
              </w:tabs>
              <w:rPr>
                <w:rFonts w:asciiTheme="majorBidi" w:hAnsiTheme="majorBidi" w:cstheme="majorBidi"/>
                <w:b/>
                <w:bCs/>
                <w:noProof/>
              </w:rPr>
            </w:pPr>
            <w:r>
              <w:rPr>
                <w:rFonts w:asciiTheme="majorBidi" w:hAnsiTheme="majorBidi" w:cstheme="majorBidi"/>
                <w:b/>
                <w:bCs/>
                <w:noProof/>
              </w:rPr>
              <w:drawing>
                <wp:inline distT="0" distB="0" distL="0" distR="0" wp14:anchorId="06662456" wp14:editId="0CB4D033">
                  <wp:extent cx="2101433" cy="2959749"/>
                  <wp:effectExtent l="0" t="0" r="6985" b="12065"/>
                  <wp:docPr id="26" name="Picture 26" descr="../../../../../Desktop/Screen%20Shot%202017-05-03%20at%201.2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5-03%20at%201.28.1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5061" cy="2978944"/>
                          </a:xfrm>
                          <a:prstGeom prst="rect">
                            <a:avLst/>
                          </a:prstGeom>
                          <a:noFill/>
                          <a:ln>
                            <a:noFill/>
                          </a:ln>
                        </pic:spPr>
                      </pic:pic>
                    </a:graphicData>
                  </a:graphic>
                </wp:inline>
              </w:drawing>
            </w:r>
          </w:p>
        </w:tc>
      </w:tr>
    </w:tbl>
    <w:p w14:paraId="40177D6F" w14:textId="1EEE35B1" w:rsidR="002E7189" w:rsidRPr="006F4E72" w:rsidRDefault="002E7189" w:rsidP="006F4E72">
      <w:pPr>
        <w:widowControl w:val="0"/>
        <w:autoSpaceDE w:val="0"/>
        <w:autoSpaceDN w:val="0"/>
        <w:adjustRightInd w:val="0"/>
        <w:ind w:left="720" w:hanging="720"/>
        <w:rPr>
          <w:rFonts w:asciiTheme="majorBidi" w:hAnsiTheme="majorBidi" w:cstheme="majorBidi"/>
        </w:rPr>
      </w:pPr>
      <w:r>
        <w:rPr>
          <w:rFonts w:asciiTheme="majorBidi" w:hAnsiTheme="majorBidi" w:cstheme="majorBidi"/>
          <w:b/>
          <w:bCs/>
        </w:rPr>
        <w:br w:type="page"/>
      </w:r>
    </w:p>
    <w:p w14:paraId="25EC3522" w14:textId="77F9AAB9" w:rsidR="009A7EB7" w:rsidRDefault="009A7EB7">
      <w:pPr>
        <w:rPr>
          <w:rFonts w:asciiTheme="majorBidi" w:hAnsiTheme="majorBidi" w:cstheme="majorBidi"/>
          <w:b/>
          <w:bCs/>
        </w:rPr>
      </w:pPr>
      <w:r>
        <w:rPr>
          <w:rFonts w:asciiTheme="majorBidi" w:hAnsiTheme="majorBidi" w:cstheme="majorBidi"/>
          <w:b/>
          <w:bCs/>
        </w:rPr>
        <w:lastRenderedPageBreak/>
        <w:t>Appendix 2, Selected</w:t>
      </w:r>
    </w:p>
    <w:p w14:paraId="4DD6DF16" w14:textId="77777777" w:rsidR="009A7EB7" w:rsidRDefault="009A7EB7">
      <w:pPr>
        <w:rPr>
          <w:rFonts w:asciiTheme="majorBidi" w:hAnsiTheme="majorBidi" w:cstheme="majorBidi"/>
          <w:b/>
          <w:bCs/>
        </w:rPr>
      </w:pPr>
    </w:p>
    <w:tbl>
      <w:tblPr>
        <w:tblStyle w:val="TableGrid"/>
        <w:tblW w:w="0" w:type="auto"/>
        <w:tblLook w:val="04A0" w:firstRow="1" w:lastRow="0" w:firstColumn="1" w:lastColumn="0" w:noHBand="0" w:noVBand="1"/>
      </w:tblPr>
      <w:tblGrid>
        <w:gridCol w:w="835"/>
        <w:gridCol w:w="8515"/>
      </w:tblGrid>
      <w:tr w:rsidR="00FB303F" w14:paraId="465667BD" w14:textId="77777777" w:rsidTr="006F4E72">
        <w:tc>
          <w:tcPr>
            <w:tcW w:w="835" w:type="dxa"/>
          </w:tcPr>
          <w:p w14:paraId="5F6D1D37" w14:textId="3A195785" w:rsidR="00FB303F" w:rsidRPr="009A7EB7" w:rsidRDefault="00FB303F" w:rsidP="00FB303F">
            <w:pPr>
              <w:rPr>
                <w:rFonts w:asciiTheme="majorBidi" w:hAnsiTheme="majorBidi" w:cstheme="majorBidi"/>
              </w:rPr>
            </w:pPr>
            <w:r w:rsidRPr="009A7EB7">
              <w:rPr>
                <w:rFonts w:asciiTheme="majorBidi" w:hAnsiTheme="majorBidi" w:cstheme="majorBidi"/>
              </w:rPr>
              <w:t>2.1</w:t>
            </w:r>
            <w:r w:rsidR="006F4E72">
              <w:rPr>
                <w:rFonts w:asciiTheme="majorBidi" w:hAnsiTheme="majorBidi" w:cstheme="majorBidi"/>
              </w:rPr>
              <w:t xml:space="preserve"> </w:t>
            </w:r>
            <w:r>
              <w:rPr>
                <w:rStyle w:val="FootnoteReference"/>
                <w:rFonts w:asciiTheme="majorBidi" w:hAnsiTheme="majorBidi" w:cstheme="majorBidi"/>
              </w:rPr>
              <w:footnoteReference w:id="104"/>
            </w:r>
          </w:p>
        </w:tc>
        <w:tc>
          <w:tcPr>
            <w:tcW w:w="8515" w:type="dxa"/>
          </w:tcPr>
          <w:p w14:paraId="5B7CADBA" w14:textId="77777777" w:rsidR="00FB303F" w:rsidRDefault="00FB303F">
            <w:pPr>
              <w:rPr>
                <w:rFonts w:asciiTheme="majorBidi" w:hAnsiTheme="majorBidi" w:cstheme="majorBidi"/>
                <w:b/>
                <w:bCs/>
                <w:noProof/>
              </w:rPr>
            </w:pPr>
          </w:p>
          <w:p w14:paraId="7806BDD1" w14:textId="17FFF34A" w:rsidR="00FB303F" w:rsidRPr="00FB303F" w:rsidRDefault="00FB303F" w:rsidP="00FB303F">
            <w:pPr>
              <w:rPr>
                <w:rFonts w:asciiTheme="majorBidi" w:hAnsiTheme="majorBidi" w:cstheme="majorBidi"/>
                <w:b/>
                <w:bCs/>
                <w:noProof/>
              </w:rPr>
            </w:pPr>
            <w:r>
              <w:rPr>
                <w:rFonts w:asciiTheme="majorBidi" w:hAnsiTheme="majorBidi" w:cstheme="majorBidi"/>
                <w:b/>
                <w:bCs/>
                <w:noProof/>
              </w:rPr>
              <w:drawing>
                <wp:inline distT="0" distB="0" distL="0" distR="0" wp14:anchorId="6BB18D89" wp14:editId="7B552030">
                  <wp:extent cx="3660397" cy="2048806"/>
                  <wp:effectExtent l="0" t="0" r="0" b="8890"/>
                  <wp:docPr id="15" name="Picture 15" descr="../../../../../Desktop/Screen%20Shot%202017-05-03%20at%2012.3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5-03%20at%2012.31.5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7015" cy="2058107"/>
                          </a:xfrm>
                          <a:prstGeom prst="rect">
                            <a:avLst/>
                          </a:prstGeom>
                          <a:noFill/>
                          <a:ln>
                            <a:noFill/>
                          </a:ln>
                        </pic:spPr>
                      </pic:pic>
                    </a:graphicData>
                  </a:graphic>
                </wp:inline>
              </w:drawing>
            </w:r>
          </w:p>
        </w:tc>
      </w:tr>
      <w:tr w:rsidR="00FB303F" w14:paraId="0F40F4C1" w14:textId="77777777" w:rsidTr="006F4E72">
        <w:tc>
          <w:tcPr>
            <w:tcW w:w="835" w:type="dxa"/>
          </w:tcPr>
          <w:p w14:paraId="7BD6AA9A" w14:textId="793F688C" w:rsidR="00FB303F" w:rsidRDefault="00FB303F">
            <w:pPr>
              <w:rPr>
                <w:rFonts w:asciiTheme="majorBidi" w:hAnsiTheme="majorBidi" w:cstheme="majorBidi"/>
                <w:b/>
                <w:bCs/>
              </w:rPr>
            </w:pPr>
            <w:r w:rsidRPr="009A7EB7">
              <w:rPr>
                <w:rFonts w:asciiTheme="majorBidi" w:hAnsiTheme="majorBidi" w:cstheme="majorBidi"/>
              </w:rPr>
              <w:t>2.</w:t>
            </w:r>
            <w:r>
              <w:rPr>
                <w:rFonts w:asciiTheme="majorBidi" w:hAnsiTheme="majorBidi" w:cstheme="majorBidi"/>
              </w:rPr>
              <w:t>2</w:t>
            </w:r>
            <w:r w:rsidR="006F4E72">
              <w:rPr>
                <w:rFonts w:asciiTheme="majorBidi" w:hAnsiTheme="majorBidi" w:cstheme="majorBidi"/>
              </w:rPr>
              <w:t xml:space="preserve"> </w:t>
            </w:r>
            <w:r>
              <w:rPr>
                <w:rStyle w:val="FootnoteReference"/>
                <w:rFonts w:asciiTheme="majorBidi" w:hAnsiTheme="majorBidi" w:cstheme="majorBidi"/>
              </w:rPr>
              <w:footnoteReference w:id="105"/>
            </w:r>
          </w:p>
        </w:tc>
        <w:tc>
          <w:tcPr>
            <w:tcW w:w="8515" w:type="dxa"/>
          </w:tcPr>
          <w:p w14:paraId="755BDA31" w14:textId="055B3B56" w:rsidR="00FB303F" w:rsidRPr="00FB303F" w:rsidRDefault="00FB303F" w:rsidP="00FB303F">
            <w:pPr>
              <w:rPr>
                <w:rFonts w:asciiTheme="majorBidi" w:hAnsiTheme="majorBidi" w:cstheme="majorBidi"/>
                <w:b/>
                <w:bCs/>
              </w:rPr>
            </w:pPr>
            <w:r>
              <w:rPr>
                <w:rFonts w:asciiTheme="majorBidi" w:hAnsiTheme="majorBidi" w:cstheme="majorBidi"/>
                <w:b/>
                <w:bCs/>
                <w:noProof/>
              </w:rPr>
              <w:drawing>
                <wp:inline distT="0" distB="0" distL="0" distR="0" wp14:anchorId="2370656B" wp14:editId="328FABA9">
                  <wp:extent cx="3261563" cy="2486048"/>
                  <wp:effectExtent l="0" t="0" r="0" b="3175"/>
                  <wp:docPr id="14" name="Picture 14" descr="../../../../../Desktop/Screen%20Shot%202017-05-03%20at%2012.3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03%20at%2012.30.5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5362" cy="2496566"/>
                          </a:xfrm>
                          <a:prstGeom prst="rect">
                            <a:avLst/>
                          </a:prstGeom>
                          <a:noFill/>
                          <a:ln>
                            <a:noFill/>
                          </a:ln>
                        </pic:spPr>
                      </pic:pic>
                    </a:graphicData>
                  </a:graphic>
                </wp:inline>
              </w:drawing>
            </w:r>
          </w:p>
        </w:tc>
      </w:tr>
      <w:tr w:rsidR="00FB303F" w14:paraId="0EEF7493" w14:textId="77777777" w:rsidTr="006F4E72">
        <w:tc>
          <w:tcPr>
            <w:tcW w:w="835" w:type="dxa"/>
          </w:tcPr>
          <w:p w14:paraId="49FA4F0E" w14:textId="109ABDE5" w:rsidR="00FB303F" w:rsidRDefault="00FB303F">
            <w:pPr>
              <w:rPr>
                <w:rFonts w:asciiTheme="majorBidi" w:hAnsiTheme="majorBidi" w:cstheme="majorBidi"/>
                <w:b/>
                <w:bCs/>
              </w:rPr>
            </w:pPr>
            <w:r w:rsidRPr="009A7EB7">
              <w:rPr>
                <w:rFonts w:asciiTheme="majorBidi" w:hAnsiTheme="majorBidi" w:cstheme="majorBidi"/>
              </w:rPr>
              <w:lastRenderedPageBreak/>
              <w:t>2.</w:t>
            </w:r>
            <w:r>
              <w:rPr>
                <w:rFonts w:asciiTheme="majorBidi" w:hAnsiTheme="majorBidi" w:cstheme="majorBidi"/>
              </w:rPr>
              <w:t>3</w:t>
            </w:r>
            <w:r w:rsidR="006F4E72">
              <w:rPr>
                <w:rFonts w:asciiTheme="majorBidi" w:hAnsiTheme="majorBidi" w:cstheme="majorBidi"/>
              </w:rPr>
              <w:t xml:space="preserve"> </w:t>
            </w:r>
            <w:r w:rsidR="00F25BEB">
              <w:rPr>
                <w:rStyle w:val="FootnoteReference"/>
                <w:rFonts w:asciiTheme="majorBidi" w:hAnsiTheme="majorBidi" w:cstheme="majorBidi"/>
              </w:rPr>
              <w:footnoteReference w:id="106"/>
            </w:r>
          </w:p>
        </w:tc>
        <w:tc>
          <w:tcPr>
            <w:tcW w:w="8515" w:type="dxa"/>
          </w:tcPr>
          <w:p w14:paraId="22B795BE" w14:textId="7AF9B81F" w:rsidR="00FB303F" w:rsidRDefault="00F25BEB">
            <w:pPr>
              <w:rPr>
                <w:rFonts w:asciiTheme="majorBidi" w:hAnsiTheme="majorBidi" w:cstheme="majorBidi"/>
                <w:b/>
                <w:bCs/>
              </w:rPr>
            </w:pPr>
            <w:r>
              <w:rPr>
                <w:rFonts w:asciiTheme="majorBidi" w:hAnsiTheme="majorBidi" w:cstheme="majorBidi"/>
                <w:b/>
                <w:bCs/>
                <w:noProof/>
              </w:rPr>
              <w:drawing>
                <wp:inline distT="0" distB="0" distL="0" distR="0" wp14:anchorId="612D9BFE" wp14:editId="4DDCC0AB">
                  <wp:extent cx="5137761" cy="2164512"/>
                  <wp:effectExtent l="0" t="0" r="0" b="0"/>
                  <wp:docPr id="11" name="Picture 11" descr="../../../../../Desktop/Screen%20Shot%202017-05-03%20at%2012.5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03%20at%2012.56.15%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2625" cy="2170774"/>
                          </a:xfrm>
                          <a:prstGeom prst="rect">
                            <a:avLst/>
                          </a:prstGeom>
                          <a:noFill/>
                          <a:ln>
                            <a:noFill/>
                          </a:ln>
                        </pic:spPr>
                      </pic:pic>
                    </a:graphicData>
                  </a:graphic>
                </wp:inline>
              </w:drawing>
            </w:r>
          </w:p>
        </w:tc>
      </w:tr>
      <w:tr w:rsidR="00FB303F" w14:paraId="007DFB3C" w14:textId="77777777" w:rsidTr="006F4E72">
        <w:tc>
          <w:tcPr>
            <w:tcW w:w="835" w:type="dxa"/>
          </w:tcPr>
          <w:p w14:paraId="1357F582" w14:textId="1B73B78F" w:rsidR="00FB303F" w:rsidRDefault="00FB303F">
            <w:pPr>
              <w:rPr>
                <w:rFonts w:asciiTheme="majorBidi" w:hAnsiTheme="majorBidi" w:cstheme="majorBidi"/>
                <w:b/>
                <w:bCs/>
              </w:rPr>
            </w:pPr>
            <w:r w:rsidRPr="009A7EB7">
              <w:rPr>
                <w:rFonts w:asciiTheme="majorBidi" w:hAnsiTheme="majorBidi" w:cstheme="majorBidi"/>
              </w:rPr>
              <w:t>2.</w:t>
            </w:r>
            <w:r>
              <w:rPr>
                <w:rFonts w:asciiTheme="majorBidi" w:hAnsiTheme="majorBidi" w:cstheme="majorBidi"/>
              </w:rPr>
              <w:t>4</w:t>
            </w:r>
            <w:r w:rsidR="006F4E72">
              <w:rPr>
                <w:rFonts w:asciiTheme="majorBidi" w:hAnsiTheme="majorBidi" w:cstheme="majorBidi"/>
              </w:rPr>
              <w:t xml:space="preserve"> </w:t>
            </w:r>
            <w:r w:rsidR="001A1DAF">
              <w:rPr>
                <w:rStyle w:val="FootnoteReference"/>
                <w:rFonts w:asciiTheme="majorBidi" w:hAnsiTheme="majorBidi" w:cstheme="majorBidi"/>
              </w:rPr>
              <w:footnoteReference w:id="107"/>
            </w:r>
          </w:p>
        </w:tc>
        <w:tc>
          <w:tcPr>
            <w:tcW w:w="8515" w:type="dxa"/>
          </w:tcPr>
          <w:p w14:paraId="3072485B" w14:textId="10629387" w:rsidR="00FB303F" w:rsidRDefault="001A1DAF">
            <w:pPr>
              <w:rPr>
                <w:rFonts w:asciiTheme="majorBidi" w:hAnsiTheme="majorBidi" w:cstheme="majorBidi"/>
                <w:b/>
                <w:bCs/>
              </w:rPr>
            </w:pPr>
            <w:r>
              <w:rPr>
                <w:rFonts w:asciiTheme="majorBidi" w:hAnsiTheme="majorBidi" w:cstheme="majorBidi"/>
                <w:b/>
                <w:bCs/>
                <w:noProof/>
              </w:rPr>
              <w:drawing>
                <wp:inline distT="0" distB="0" distL="0" distR="0" wp14:anchorId="03FE7438" wp14:editId="2517B9FE">
                  <wp:extent cx="5270324" cy="2410419"/>
                  <wp:effectExtent l="0" t="0" r="0" b="3175"/>
                  <wp:docPr id="12" name="Picture 12" descr="../../../../../Desktop/Screen%20Shot%202017-05-03%20at%2012.58.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03%20at%2012.58.36%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215" cy="2417687"/>
                          </a:xfrm>
                          <a:prstGeom prst="rect">
                            <a:avLst/>
                          </a:prstGeom>
                          <a:noFill/>
                          <a:ln>
                            <a:noFill/>
                          </a:ln>
                        </pic:spPr>
                      </pic:pic>
                    </a:graphicData>
                  </a:graphic>
                </wp:inline>
              </w:drawing>
            </w:r>
          </w:p>
        </w:tc>
      </w:tr>
    </w:tbl>
    <w:p w14:paraId="3AD55A0B" w14:textId="71BF2AB9" w:rsidR="009A7EB7" w:rsidRDefault="009A7EB7">
      <w:pPr>
        <w:rPr>
          <w:rFonts w:asciiTheme="majorBidi" w:hAnsiTheme="majorBidi" w:cstheme="majorBidi"/>
          <w:b/>
          <w:bCs/>
        </w:rPr>
      </w:pPr>
      <w:r>
        <w:rPr>
          <w:rFonts w:asciiTheme="majorBidi" w:hAnsiTheme="majorBidi" w:cstheme="majorBidi"/>
          <w:b/>
          <w:bCs/>
        </w:rPr>
        <w:br w:type="page"/>
      </w:r>
    </w:p>
    <w:p w14:paraId="36065521" w14:textId="26494F22" w:rsidR="00712E90" w:rsidRPr="004624A6" w:rsidRDefault="004624A6" w:rsidP="004624A6">
      <w:pPr>
        <w:pStyle w:val="FootnoteText"/>
        <w:rPr>
          <w:rFonts w:asciiTheme="majorBidi" w:hAnsiTheme="majorBidi" w:cstheme="majorBidi"/>
          <w:b/>
          <w:bCs/>
        </w:rPr>
      </w:pPr>
      <w:r>
        <w:rPr>
          <w:rFonts w:asciiTheme="majorBidi" w:hAnsiTheme="majorBidi" w:cstheme="majorBidi"/>
          <w:b/>
          <w:bCs/>
        </w:rPr>
        <w:lastRenderedPageBreak/>
        <w:t>Appendix 3, Selected</w:t>
      </w:r>
    </w:p>
    <w:tbl>
      <w:tblPr>
        <w:tblStyle w:val="TableGrid"/>
        <w:tblpPr w:leftFromText="180" w:rightFromText="180" w:vertAnchor="page" w:horzAnchor="page" w:tblpX="1630" w:tblpY="2680"/>
        <w:tblW w:w="9068" w:type="dxa"/>
        <w:tblLayout w:type="fixed"/>
        <w:tblLook w:val="04A0" w:firstRow="1" w:lastRow="0" w:firstColumn="1" w:lastColumn="0" w:noHBand="0" w:noVBand="1"/>
      </w:tblPr>
      <w:tblGrid>
        <w:gridCol w:w="888"/>
        <w:gridCol w:w="8180"/>
      </w:tblGrid>
      <w:tr w:rsidR="004624A6" w14:paraId="6C083722" w14:textId="77777777" w:rsidTr="004624A6">
        <w:trPr>
          <w:trHeight w:val="132"/>
        </w:trPr>
        <w:tc>
          <w:tcPr>
            <w:tcW w:w="888" w:type="dxa"/>
          </w:tcPr>
          <w:p w14:paraId="32B62970" w14:textId="4155B9B9" w:rsidR="004624A6" w:rsidRDefault="004624A6" w:rsidP="00094B54">
            <w:pPr>
              <w:pStyle w:val="FootnoteText"/>
              <w:rPr>
                <w:rFonts w:asciiTheme="majorBidi" w:hAnsiTheme="majorBidi" w:cstheme="majorBidi"/>
              </w:rPr>
            </w:pPr>
            <w:r>
              <w:rPr>
                <w:rFonts w:asciiTheme="majorBidi" w:hAnsiTheme="majorBidi" w:cstheme="majorBidi"/>
              </w:rPr>
              <w:t>3.1</w:t>
            </w:r>
            <w:r w:rsidR="006F4E72">
              <w:rPr>
                <w:rFonts w:asciiTheme="majorBidi" w:hAnsiTheme="majorBidi" w:cstheme="majorBidi"/>
              </w:rPr>
              <w:t xml:space="preserve"> </w:t>
            </w:r>
            <w:r>
              <w:rPr>
                <w:rStyle w:val="FootnoteReference"/>
                <w:rFonts w:asciiTheme="majorBidi" w:hAnsiTheme="majorBidi" w:cstheme="majorBidi"/>
              </w:rPr>
              <w:footnoteReference w:id="108"/>
            </w:r>
          </w:p>
        </w:tc>
        <w:tc>
          <w:tcPr>
            <w:tcW w:w="8180" w:type="dxa"/>
          </w:tcPr>
          <w:p w14:paraId="11606F1A" w14:textId="77777777" w:rsidR="004624A6" w:rsidRPr="00712E90" w:rsidRDefault="004624A6" w:rsidP="00094B54">
            <w:pPr>
              <w:pStyle w:val="FootnoteText"/>
              <w:rPr>
                <w:rFonts w:asciiTheme="majorBidi" w:hAnsiTheme="majorBidi" w:cstheme="majorBidi"/>
                <w:sz w:val="21"/>
                <w:szCs w:val="21"/>
              </w:rPr>
            </w:pPr>
            <w:r w:rsidRPr="00712E90">
              <w:rPr>
                <w:rFonts w:ascii="Calibri" w:eastAsia="Times New Roman" w:hAnsi="Calibri"/>
                <w:noProof/>
                <w:color w:val="0000FF"/>
                <w:sz w:val="21"/>
                <w:szCs w:val="21"/>
              </w:rPr>
              <w:drawing>
                <wp:inline distT="0" distB="0" distL="0" distR="0" wp14:anchorId="42B7D0B6" wp14:editId="1FCAB423">
                  <wp:extent cx="1936169" cy="2375667"/>
                  <wp:effectExtent l="0" t="0" r="0" b="12065"/>
                  <wp:docPr id="2" name="Picture 2" descr="ying Niobi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g Niobi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8260" cy="2378232"/>
                          </a:xfrm>
                          <a:prstGeom prst="rect">
                            <a:avLst/>
                          </a:prstGeom>
                          <a:noFill/>
                          <a:ln>
                            <a:noFill/>
                          </a:ln>
                        </pic:spPr>
                      </pic:pic>
                    </a:graphicData>
                  </a:graphic>
                </wp:inline>
              </w:drawing>
            </w:r>
          </w:p>
        </w:tc>
      </w:tr>
      <w:tr w:rsidR="004624A6" w14:paraId="62D0B196" w14:textId="77777777" w:rsidTr="004624A6">
        <w:trPr>
          <w:trHeight w:val="132"/>
        </w:trPr>
        <w:tc>
          <w:tcPr>
            <w:tcW w:w="888" w:type="dxa"/>
          </w:tcPr>
          <w:p w14:paraId="123802A0" w14:textId="10C2C0B5" w:rsidR="004624A6" w:rsidRDefault="004624A6" w:rsidP="00094B54">
            <w:pPr>
              <w:pStyle w:val="FootnoteText"/>
              <w:rPr>
                <w:rFonts w:asciiTheme="majorBidi" w:hAnsiTheme="majorBidi" w:cstheme="majorBidi"/>
              </w:rPr>
            </w:pPr>
            <w:r>
              <w:rPr>
                <w:rFonts w:asciiTheme="majorBidi" w:hAnsiTheme="majorBidi" w:cstheme="majorBidi"/>
              </w:rPr>
              <w:t>3.2</w:t>
            </w:r>
            <w:r w:rsidR="006F4E72">
              <w:rPr>
                <w:rFonts w:asciiTheme="majorBidi" w:hAnsiTheme="majorBidi" w:cstheme="majorBidi"/>
              </w:rPr>
              <w:t xml:space="preserve"> </w:t>
            </w:r>
            <w:r>
              <w:rPr>
                <w:rStyle w:val="FootnoteReference"/>
                <w:rFonts w:asciiTheme="majorBidi" w:hAnsiTheme="majorBidi" w:cstheme="majorBidi"/>
              </w:rPr>
              <w:footnoteReference w:id="109"/>
            </w:r>
          </w:p>
        </w:tc>
        <w:tc>
          <w:tcPr>
            <w:tcW w:w="8180" w:type="dxa"/>
          </w:tcPr>
          <w:p w14:paraId="09C95D90" w14:textId="77777777" w:rsidR="004624A6" w:rsidRDefault="004624A6" w:rsidP="00094B54">
            <w:pPr>
              <w:pStyle w:val="FootnoteText"/>
              <w:rPr>
                <w:rFonts w:asciiTheme="majorBidi" w:hAnsiTheme="majorBidi" w:cstheme="majorBidi"/>
              </w:rPr>
            </w:pPr>
            <w:r w:rsidRPr="00712E90">
              <w:rPr>
                <w:rFonts w:asciiTheme="majorBidi" w:hAnsiTheme="majorBidi" w:cstheme="majorBidi"/>
                <w:noProof/>
              </w:rPr>
              <w:drawing>
                <wp:inline distT="0" distB="0" distL="0" distR="0" wp14:anchorId="33CB40FB" wp14:editId="413D44CA">
                  <wp:extent cx="1936169" cy="28898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8496" cy="2893278"/>
                          </a:xfrm>
                          <a:prstGeom prst="rect">
                            <a:avLst/>
                          </a:prstGeom>
                        </pic:spPr>
                      </pic:pic>
                    </a:graphicData>
                  </a:graphic>
                </wp:inline>
              </w:drawing>
            </w:r>
          </w:p>
        </w:tc>
      </w:tr>
      <w:tr w:rsidR="004624A6" w14:paraId="25777033" w14:textId="77777777" w:rsidTr="004624A6">
        <w:trPr>
          <w:trHeight w:val="3607"/>
        </w:trPr>
        <w:tc>
          <w:tcPr>
            <w:tcW w:w="888" w:type="dxa"/>
          </w:tcPr>
          <w:p w14:paraId="7B39AF6A" w14:textId="1A6792B5" w:rsidR="004624A6" w:rsidRDefault="004624A6" w:rsidP="00094B54">
            <w:pPr>
              <w:pStyle w:val="FootnoteText"/>
              <w:rPr>
                <w:rFonts w:asciiTheme="majorBidi" w:hAnsiTheme="majorBidi" w:cstheme="majorBidi"/>
              </w:rPr>
            </w:pPr>
            <w:r>
              <w:rPr>
                <w:rFonts w:asciiTheme="majorBidi" w:hAnsiTheme="majorBidi" w:cstheme="majorBidi"/>
              </w:rPr>
              <w:lastRenderedPageBreak/>
              <w:t>3.3</w:t>
            </w:r>
            <w:r w:rsidR="006F4E72">
              <w:rPr>
                <w:rFonts w:asciiTheme="majorBidi" w:hAnsiTheme="majorBidi" w:cstheme="majorBidi"/>
              </w:rPr>
              <w:t xml:space="preserve"> </w:t>
            </w:r>
            <w:r>
              <w:rPr>
                <w:rStyle w:val="FootnoteReference"/>
                <w:rFonts w:asciiTheme="majorBidi" w:hAnsiTheme="majorBidi" w:cstheme="majorBidi"/>
              </w:rPr>
              <w:footnoteReference w:id="110"/>
            </w:r>
          </w:p>
        </w:tc>
        <w:tc>
          <w:tcPr>
            <w:tcW w:w="8180" w:type="dxa"/>
          </w:tcPr>
          <w:p w14:paraId="6F0B733C" w14:textId="77777777" w:rsidR="004624A6" w:rsidRDefault="004624A6" w:rsidP="00094B54">
            <w:pPr>
              <w:pStyle w:val="FootnoteText"/>
              <w:rPr>
                <w:rFonts w:asciiTheme="majorBidi" w:hAnsiTheme="majorBidi" w:cstheme="majorBidi"/>
              </w:rPr>
            </w:pPr>
            <w:r w:rsidRPr="00F75B35">
              <w:rPr>
                <w:rFonts w:asciiTheme="majorBidi" w:hAnsiTheme="majorBidi" w:cstheme="majorBidi"/>
                <w:noProof/>
              </w:rPr>
              <w:drawing>
                <wp:inline distT="0" distB="0" distL="0" distR="0" wp14:anchorId="6F643B12" wp14:editId="10AB5828">
                  <wp:extent cx="2035878" cy="2452865"/>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9568" cy="2457311"/>
                          </a:xfrm>
                          <a:prstGeom prst="rect">
                            <a:avLst/>
                          </a:prstGeom>
                        </pic:spPr>
                      </pic:pic>
                    </a:graphicData>
                  </a:graphic>
                </wp:inline>
              </w:drawing>
            </w:r>
          </w:p>
        </w:tc>
      </w:tr>
      <w:tr w:rsidR="004624A6" w14:paraId="565E26C2" w14:textId="77777777" w:rsidTr="004624A6">
        <w:trPr>
          <w:trHeight w:val="2892"/>
        </w:trPr>
        <w:tc>
          <w:tcPr>
            <w:tcW w:w="888" w:type="dxa"/>
          </w:tcPr>
          <w:p w14:paraId="7218151D" w14:textId="1273F104" w:rsidR="004624A6" w:rsidRDefault="004624A6" w:rsidP="00094B54">
            <w:pPr>
              <w:pStyle w:val="FootnoteText"/>
              <w:rPr>
                <w:rFonts w:asciiTheme="majorBidi" w:hAnsiTheme="majorBidi" w:cstheme="majorBidi"/>
              </w:rPr>
            </w:pPr>
            <w:r>
              <w:rPr>
                <w:rFonts w:asciiTheme="majorBidi" w:hAnsiTheme="majorBidi" w:cstheme="majorBidi"/>
              </w:rPr>
              <w:t>3.4</w:t>
            </w:r>
            <w:r w:rsidR="006F4E72">
              <w:rPr>
                <w:rFonts w:asciiTheme="majorBidi" w:hAnsiTheme="majorBidi" w:cstheme="majorBidi"/>
              </w:rPr>
              <w:t xml:space="preserve"> </w:t>
            </w:r>
            <w:r>
              <w:rPr>
                <w:rStyle w:val="FootnoteReference"/>
                <w:rFonts w:asciiTheme="majorBidi" w:hAnsiTheme="majorBidi" w:cstheme="majorBidi"/>
              </w:rPr>
              <w:footnoteReference w:id="111"/>
            </w:r>
          </w:p>
        </w:tc>
        <w:tc>
          <w:tcPr>
            <w:tcW w:w="8180" w:type="dxa"/>
          </w:tcPr>
          <w:p w14:paraId="20EEE968" w14:textId="77777777" w:rsidR="004624A6" w:rsidRPr="0090130E" w:rsidRDefault="004624A6" w:rsidP="00094B54">
            <w:pPr>
              <w:pStyle w:val="FootnoteText"/>
              <w:rPr>
                <w:rFonts w:asciiTheme="majorBidi" w:hAnsiTheme="majorBidi" w:cstheme="majorBidi"/>
              </w:rPr>
            </w:pPr>
            <w:r w:rsidRPr="0090130E">
              <w:rPr>
                <w:rFonts w:asciiTheme="majorBidi" w:hAnsiTheme="majorBidi" w:cstheme="majorBidi"/>
                <w:noProof/>
              </w:rPr>
              <w:drawing>
                <wp:inline distT="0" distB="0" distL="0" distR="0" wp14:anchorId="3B120FCF" wp14:editId="63E05045">
                  <wp:extent cx="2385522" cy="1979687"/>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21095" cy="2009208"/>
                          </a:xfrm>
                          <a:prstGeom prst="rect">
                            <a:avLst/>
                          </a:prstGeom>
                        </pic:spPr>
                      </pic:pic>
                    </a:graphicData>
                  </a:graphic>
                </wp:inline>
              </w:drawing>
            </w:r>
          </w:p>
        </w:tc>
      </w:tr>
      <w:tr w:rsidR="004624A6" w14:paraId="399BAEEE" w14:textId="77777777" w:rsidTr="004624A6">
        <w:trPr>
          <w:trHeight w:val="2509"/>
        </w:trPr>
        <w:tc>
          <w:tcPr>
            <w:tcW w:w="888" w:type="dxa"/>
          </w:tcPr>
          <w:p w14:paraId="7501D2BE" w14:textId="04F1CFF8" w:rsidR="004624A6" w:rsidRDefault="004624A6" w:rsidP="00094B54">
            <w:pPr>
              <w:pStyle w:val="FootnoteText"/>
              <w:rPr>
                <w:rFonts w:asciiTheme="majorBidi" w:hAnsiTheme="majorBidi" w:cstheme="majorBidi"/>
              </w:rPr>
            </w:pPr>
            <w:r>
              <w:rPr>
                <w:rFonts w:asciiTheme="majorBidi" w:hAnsiTheme="majorBidi" w:cstheme="majorBidi"/>
              </w:rPr>
              <w:t>3.5</w:t>
            </w:r>
            <w:r w:rsidR="006F4E72">
              <w:rPr>
                <w:rFonts w:asciiTheme="majorBidi" w:hAnsiTheme="majorBidi" w:cstheme="majorBidi"/>
              </w:rPr>
              <w:t xml:space="preserve"> </w:t>
            </w:r>
            <w:r>
              <w:rPr>
                <w:rStyle w:val="FootnoteReference"/>
                <w:rFonts w:asciiTheme="majorBidi" w:hAnsiTheme="majorBidi" w:cstheme="majorBidi"/>
              </w:rPr>
              <w:footnoteReference w:id="112"/>
            </w:r>
          </w:p>
        </w:tc>
        <w:tc>
          <w:tcPr>
            <w:tcW w:w="8180" w:type="dxa"/>
          </w:tcPr>
          <w:p w14:paraId="61FEAACC" w14:textId="77777777" w:rsidR="004624A6" w:rsidRPr="0090130E" w:rsidRDefault="004624A6" w:rsidP="00094B54">
            <w:pPr>
              <w:pStyle w:val="FootnoteText"/>
              <w:rPr>
                <w:rFonts w:asciiTheme="majorBidi" w:hAnsiTheme="majorBidi" w:cstheme="majorBidi"/>
              </w:rPr>
            </w:pPr>
            <w:r w:rsidRPr="00094B54">
              <w:rPr>
                <w:rFonts w:asciiTheme="majorBidi" w:hAnsiTheme="majorBidi" w:cstheme="majorBidi"/>
                <w:noProof/>
              </w:rPr>
              <w:drawing>
                <wp:inline distT="0" distB="0" distL="0" distR="0" wp14:anchorId="61BE394E" wp14:editId="5B05C216">
                  <wp:extent cx="3278001" cy="1709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19464" cy="1731370"/>
                          </a:xfrm>
                          <a:prstGeom prst="rect">
                            <a:avLst/>
                          </a:prstGeom>
                        </pic:spPr>
                      </pic:pic>
                    </a:graphicData>
                  </a:graphic>
                </wp:inline>
              </w:drawing>
            </w:r>
          </w:p>
        </w:tc>
      </w:tr>
      <w:tr w:rsidR="004624A6" w14:paraId="2BDFC5E6" w14:textId="77777777" w:rsidTr="004624A6">
        <w:trPr>
          <w:trHeight w:val="230"/>
        </w:trPr>
        <w:tc>
          <w:tcPr>
            <w:tcW w:w="888" w:type="dxa"/>
          </w:tcPr>
          <w:p w14:paraId="2492A387" w14:textId="4BC40255" w:rsidR="004624A6" w:rsidRDefault="004624A6" w:rsidP="00094B54">
            <w:pPr>
              <w:pStyle w:val="FootnoteText"/>
              <w:rPr>
                <w:rFonts w:asciiTheme="majorBidi" w:hAnsiTheme="majorBidi" w:cstheme="majorBidi"/>
              </w:rPr>
            </w:pPr>
            <w:r>
              <w:rPr>
                <w:rFonts w:asciiTheme="majorBidi" w:hAnsiTheme="majorBidi" w:cstheme="majorBidi"/>
              </w:rPr>
              <w:lastRenderedPageBreak/>
              <w:t>3.6</w:t>
            </w:r>
            <w:r w:rsidR="006F4E72">
              <w:rPr>
                <w:rFonts w:asciiTheme="majorBidi" w:hAnsiTheme="majorBidi" w:cstheme="majorBidi"/>
              </w:rPr>
              <w:t xml:space="preserve"> </w:t>
            </w:r>
            <w:r>
              <w:rPr>
                <w:rStyle w:val="FootnoteReference"/>
                <w:rFonts w:asciiTheme="majorBidi" w:hAnsiTheme="majorBidi" w:cstheme="majorBidi"/>
              </w:rPr>
              <w:footnoteReference w:id="113"/>
            </w:r>
          </w:p>
        </w:tc>
        <w:tc>
          <w:tcPr>
            <w:tcW w:w="8180" w:type="dxa"/>
          </w:tcPr>
          <w:p w14:paraId="28982BF7" w14:textId="6143F77E" w:rsidR="004624A6" w:rsidRPr="0090130E" w:rsidRDefault="004624A6" w:rsidP="00094B54">
            <w:pPr>
              <w:pStyle w:val="FootnoteText"/>
              <w:rPr>
                <w:rFonts w:asciiTheme="majorBidi" w:hAnsiTheme="majorBidi" w:cstheme="majorBidi"/>
              </w:rPr>
            </w:pPr>
            <w:r w:rsidRPr="00094B54">
              <w:rPr>
                <w:rFonts w:asciiTheme="majorBidi" w:hAnsiTheme="majorBidi" w:cstheme="majorBidi"/>
                <w:noProof/>
              </w:rPr>
              <w:drawing>
                <wp:inline distT="0" distB="0" distL="0" distR="0" wp14:anchorId="077A9184" wp14:editId="0876A7B4">
                  <wp:extent cx="1807278" cy="240970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9510" cy="2439347"/>
                          </a:xfrm>
                          <a:prstGeom prst="rect">
                            <a:avLst/>
                          </a:prstGeom>
                        </pic:spPr>
                      </pic:pic>
                    </a:graphicData>
                  </a:graphic>
                </wp:inline>
              </w:drawing>
            </w:r>
          </w:p>
        </w:tc>
      </w:tr>
      <w:tr w:rsidR="004624A6" w14:paraId="4614EC72" w14:textId="77777777" w:rsidTr="004624A6">
        <w:trPr>
          <w:trHeight w:val="230"/>
        </w:trPr>
        <w:tc>
          <w:tcPr>
            <w:tcW w:w="888" w:type="dxa"/>
          </w:tcPr>
          <w:p w14:paraId="5FC676F0" w14:textId="399A5B49" w:rsidR="004624A6" w:rsidRDefault="004624A6" w:rsidP="00094B54">
            <w:pPr>
              <w:pStyle w:val="FootnoteText"/>
              <w:rPr>
                <w:rFonts w:asciiTheme="majorBidi" w:hAnsiTheme="majorBidi" w:cstheme="majorBidi"/>
              </w:rPr>
            </w:pPr>
            <w:r>
              <w:rPr>
                <w:rFonts w:asciiTheme="majorBidi" w:hAnsiTheme="majorBidi" w:cstheme="majorBidi"/>
              </w:rPr>
              <w:t>3.7</w:t>
            </w:r>
            <w:r w:rsidR="006F4E72">
              <w:rPr>
                <w:rFonts w:asciiTheme="majorBidi" w:hAnsiTheme="majorBidi" w:cstheme="majorBidi"/>
              </w:rPr>
              <w:t xml:space="preserve"> </w:t>
            </w:r>
            <w:r>
              <w:rPr>
                <w:rStyle w:val="FootnoteReference"/>
                <w:rFonts w:asciiTheme="majorBidi" w:hAnsiTheme="majorBidi" w:cstheme="majorBidi"/>
              </w:rPr>
              <w:footnoteReference w:id="114"/>
            </w:r>
          </w:p>
        </w:tc>
        <w:tc>
          <w:tcPr>
            <w:tcW w:w="8180" w:type="dxa"/>
          </w:tcPr>
          <w:p w14:paraId="5BCDC4E7" w14:textId="54053582" w:rsidR="004624A6" w:rsidRPr="00094B54" w:rsidRDefault="004624A6" w:rsidP="00094B54">
            <w:pPr>
              <w:pStyle w:val="FootnoteText"/>
              <w:rPr>
                <w:rFonts w:asciiTheme="majorBidi" w:hAnsiTheme="majorBidi" w:cstheme="majorBidi"/>
              </w:rPr>
            </w:pPr>
            <w:r w:rsidRPr="003329AB">
              <w:rPr>
                <w:rFonts w:asciiTheme="majorBidi" w:hAnsiTheme="majorBidi" w:cstheme="majorBidi"/>
                <w:noProof/>
              </w:rPr>
              <w:drawing>
                <wp:inline distT="0" distB="0" distL="0" distR="0" wp14:anchorId="66E29C95" wp14:editId="1415152F">
                  <wp:extent cx="1921578" cy="2357764"/>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4275" cy="2361073"/>
                          </a:xfrm>
                          <a:prstGeom prst="rect">
                            <a:avLst/>
                          </a:prstGeom>
                        </pic:spPr>
                      </pic:pic>
                    </a:graphicData>
                  </a:graphic>
                </wp:inline>
              </w:drawing>
            </w:r>
          </w:p>
        </w:tc>
      </w:tr>
      <w:tr w:rsidR="004624A6" w14:paraId="5A6EBEF6" w14:textId="77777777" w:rsidTr="004624A6">
        <w:trPr>
          <w:trHeight w:val="230"/>
        </w:trPr>
        <w:tc>
          <w:tcPr>
            <w:tcW w:w="888" w:type="dxa"/>
          </w:tcPr>
          <w:p w14:paraId="0D7C4522" w14:textId="71ACC247" w:rsidR="004624A6" w:rsidRDefault="004624A6" w:rsidP="00094B54">
            <w:pPr>
              <w:pStyle w:val="FootnoteText"/>
              <w:rPr>
                <w:rFonts w:asciiTheme="majorBidi" w:hAnsiTheme="majorBidi" w:cstheme="majorBidi"/>
              </w:rPr>
            </w:pPr>
            <w:r>
              <w:rPr>
                <w:rFonts w:asciiTheme="majorBidi" w:hAnsiTheme="majorBidi" w:cstheme="majorBidi"/>
              </w:rPr>
              <w:t>3.8</w:t>
            </w:r>
            <w:r w:rsidR="006F4E72">
              <w:rPr>
                <w:rFonts w:asciiTheme="majorBidi" w:hAnsiTheme="majorBidi" w:cstheme="majorBidi"/>
              </w:rPr>
              <w:t xml:space="preserve"> </w:t>
            </w:r>
            <w:r>
              <w:rPr>
                <w:rStyle w:val="FootnoteReference"/>
                <w:rFonts w:asciiTheme="majorBidi" w:hAnsiTheme="majorBidi" w:cstheme="majorBidi"/>
              </w:rPr>
              <w:footnoteReference w:id="115"/>
            </w:r>
          </w:p>
        </w:tc>
        <w:tc>
          <w:tcPr>
            <w:tcW w:w="8180" w:type="dxa"/>
          </w:tcPr>
          <w:p w14:paraId="7374F46D" w14:textId="5F642867" w:rsidR="004624A6" w:rsidRPr="00094B54" w:rsidRDefault="004624A6" w:rsidP="00094B54">
            <w:pPr>
              <w:pStyle w:val="FootnoteText"/>
              <w:rPr>
                <w:rFonts w:asciiTheme="majorBidi" w:hAnsiTheme="majorBidi" w:cstheme="majorBidi"/>
              </w:rPr>
            </w:pPr>
            <w:r w:rsidRPr="003329AB">
              <w:rPr>
                <w:rFonts w:asciiTheme="majorBidi" w:hAnsiTheme="majorBidi" w:cstheme="majorBidi"/>
                <w:noProof/>
              </w:rPr>
              <w:drawing>
                <wp:inline distT="0" distB="0" distL="0" distR="0" wp14:anchorId="206EE890" wp14:editId="1B753789">
                  <wp:extent cx="2493078" cy="1986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0284" cy="1992259"/>
                          </a:xfrm>
                          <a:prstGeom prst="rect">
                            <a:avLst/>
                          </a:prstGeom>
                        </pic:spPr>
                      </pic:pic>
                    </a:graphicData>
                  </a:graphic>
                </wp:inline>
              </w:drawing>
            </w:r>
          </w:p>
        </w:tc>
      </w:tr>
    </w:tbl>
    <w:p w14:paraId="1764EE30" w14:textId="4BBC9480" w:rsidR="00712E90" w:rsidRPr="003329AB" w:rsidRDefault="00712E90" w:rsidP="003329AB">
      <w:pPr>
        <w:rPr>
          <w:rFonts w:asciiTheme="majorBidi" w:hAnsiTheme="majorBidi" w:cstheme="majorBidi"/>
        </w:rPr>
      </w:pPr>
    </w:p>
    <w:sectPr w:rsidR="00712E90" w:rsidRPr="003329AB" w:rsidSect="000B227F">
      <w:headerReference w:type="even" r:id="rId32"/>
      <w:head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2FBD6" w14:textId="77777777" w:rsidR="00FA5CBD" w:rsidRDefault="00FA5CBD" w:rsidP="00DB1D86">
      <w:r>
        <w:separator/>
      </w:r>
    </w:p>
  </w:endnote>
  <w:endnote w:type="continuationSeparator" w:id="0">
    <w:p w14:paraId="5484E68B" w14:textId="77777777" w:rsidR="00FA5CBD" w:rsidRDefault="00FA5CBD" w:rsidP="00DB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8AF47" w14:textId="77777777" w:rsidR="00FA5CBD" w:rsidRDefault="00FA5CBD" w:rsidP="00DB1D86">
      <w:r>
        <w:separator/>
      </w:r>
    </w:p>
  </w:footnote>
  <w:footnote w:type="continuationSeparator" w:id="0">
    <w:p w14:paraId="02983D6C" w14:textId="77777777" w:rsidR="00FA5CBD" w:rsidRDefault="00FA5CBD" w:rsidP="00DB1D86">
      <w:r>
        <w:continuationSeparator/>
      </w:r>
    </w:p>
  </w:footnote>
  <w:footnote w:id="1">
    <w:p w14:paraId="31BE5953" w14:textId="77777777" w:rsidR="004C5636" w:rsidRPr="00730810" w:rsidRDefault="004C5636" w:rsidP="00EB4015">
      <w:pPr>
        <w:widowControl w:val="0"/>
        <w:autoSpaceDE w:val="0"/>
        <w:autoSpaceDN w:val="0"/>
        <w:adjustRightInd w:val="0"/>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Raisa E. Patron. "The Looting of Iraqi Archaeological Sites: Global Implications and Support for an International  </w:t>
      </w:r>
    </w:p>
    <w:p w14:paraId="6E75A5A8" w14:textId="77777777" w:rsidR="004C5636" w:rsidRPr="00730810" w:rsidRDefault="004C5636" w:rsidP="00EB4015">
      <w:pPr>
        <w:widowControl w:val="0"/>
        <w:autoSpaceDE w:val="0"/>
        <w:autoSpaceDN w:val="0"/>
        <w:adjustRightInd w:val="0"/>
        <w:rPr>
          <w:rFonts w:asciiTheme="majorBidi" w:hAnsiTheme="majorBidi" w:cstheme="majorBidi"/>
          <w:color w:val="000000" w:themeColor="text1"/>
          <w:sz w:val="20"/>
          <w:szCs w:val="20"/>
        </w:rPr>
      </w:pPr>
      <w:r w:rsidRPr="00730810">
        <w:rPr>
          <w:rFonts w:asciiTheme="majorBidi" w:hAnsiTheme="majorBidi" w:cstheme="majorBidi"/>
          <w:color w:val="000000" w:themeColor="text1"/>
          <w:sz w:val="20"/>
          <w:szCs w:val="20"/>
        </w:rPr>
        <w:t xml:space="preserve">Approach to Regulating the Antiquities Market," </w:t>
      </w:r>
      <w:r w:rsidRPr="00730810">
        <w:rPr>
          <w:rFonts w:asciiTheme="majorBidi" w:hAnsiTheme="majorBidi" w:cstheme="majorBidi"/>
          <w:i/>
          <w:iCs/>
          <w:color w:val="000000" w:themeColor="text1"/>
          <w:sz w:val="20"/>
          <w:szCs w:val="20"/>
        </w:rPr>
        <w:t>The George Washington International Law Review</w:t>
      </w:r>
      <w:r w:rsidRPr="00730810">
        <w:rPr>
          <w:rFonts w:asciiTheme="majorBidi" w:hAnsiTheme="majorBidi" w:cstheme="majorBidi"/>
          <w:color w:val="000000" w:themeColor="text1"/>
          <w:sz w:val="20"/>
          <w:szCs w:val="20"/>
        </w:rPr>
        <w:t xml:space="preserve"> 40, no. 2  </w:t>
      </w:r>
    </w:p>
    <w:p w14:paraId="32611C70"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Fonts w:asciiTheme="majorBidi" w:hAnsiTheme="majorBidi" w:cstheme="majorBidi"/>
          <w:color w:val="000000" w:themeColor="text1"/>
          <w:sz w:val="20"/>
          <w:szCs w:val="20"/>
        </w:rPr>
        <w:t>(September 2008), 473.</w:t>
      </w:r>
    </w:p>
  </w:footnote>
  <w:footnote w:id="2">
    <w:p w14:paraId="528CB8A6"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United Nations Educational, Scientific and cultural Organization (UNESCO). </w:t>
      </w:r>
      <w:r w:rsidRPr="00730810">
        <w:rPr>
          <w:rFonts w:asciiTheme="majorBidi" w:hAnsiTheme="majorBidi" w:cstheme="majorBidi"/>
          <w:i/>
          <w:iCs/>
          <w:color w:val="000000" w:themeColor="text1"/>
          <w:sz w:val="20"/>
          <w:szCs w:val="20"/>
        </w:rPr>
        <w:t>The Fight against the Illicit Trafficking of Cultural Objects: The 1970 Convention: Past and Future</w:t>
      </w:r>
      <w:r w:rsidRPr="00730810">
        <w:rPr>
          <w:rFonts w:asciiTheme="majorBidi" w:hAnsiTheme="majorBidi" w:cstheme="majorBidi"/>
          <w:color w:val="000000" w:themeColor="text1"/>
          <w:sz w:val="20"/>
          <w:szCs w:val="20"/>
        </w:rPr>
        <w:t>. Paris: UNESCO, 2011.</w:t>
      </w:r>
    </w:p>
  </w:footnote>
  <w:footnote w:id="3">
    <w:p w14:paraId="52068C7B" w14:textId="3A9801AB" w:rsidR="004C5636" w:rsidRPr="00730810" w:rsidRDefault="004C5636" w:rsidP="00333B59">
      <w:pPr>
        <w:pStyle w:val="FootnoteText"/>
        <w:rPr>
          <w:rFonts w:asciiTheme="majorBidi" w:hAnsiTheme="majorBidi" w:cstheme="majorBidi"/>
          <w:i/>
          <w:iCs/>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hAnsiTheme="majorBidi" w:cstheme="majorBidi"/>
          <w:i/>
          <w:iCs/>
          <w:sz w:val="20"/>
          <w:szCs w:val="20"/>
        </w:rPr>
        <w:t>Ibid.</w:t>
      </w:r>
    </w:p>
  </w:footnote>
  <w:footnote w:id="4">
    <w:p w14:paraId="2ACA0EC5" w14:textId="6D28EF50"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Embassy of the United States and Rome. "Agreement Between the Government of the United States of America and the Government of the Republic of Italy Concerning the Imposition of Import Restrictions on Categories of Archaeological Material Representing the Pre-Classical, Classical, and Imperial Roman Periods of Italy," Agreement. 16-112. (Washington, DC: 19 January 2001), 1-3; Embassy of Egypt and Rome. "Agreement on the Cultural and Historical Property Between the Government of the Arab Republic of Egypt and the Government of the Italian Republic in the Field of Protection and Repatriation of Cultural Property," Agreement. 003906-8554424. (Rome, Italy and Egypt: 6 September 2008), 9-13.</w:t>
      </w:r>
    </w:p>
  </w:footnote>
  <w:footnote w:id="5">
    <w:p w14:paraId="7B94887A" w14:textId="77777777" w:rsidR="004C5636" w:rsidRPr="00730810" w:rsidRDefault="004C5636" w:rsidP="00333B59">
      <w:pPr>
        <w:tabs>
          <w:tab w:val="left" w:pos="720"/>
          <w:tab w:val="left" w:pos="1503"/>
        </w:tabs>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United Nations Educational, Scientific, and Cultural Organization. “Return or Restitution Cases,” </w:t>
      </w:r>
      <w:r w:rsidRPr="00730810">
        <w:rPr>
          <w:rFonts w:asciiTheme="majorBidi" w:hAnsiTheme="majorBidi" w:cstheme="majorBidi"/>
          <w:i/>
          <w:iCs/>
          <w:color w:val="000000" w:themeColor="text1"/>
          <w:sz w:val="20"/>
          <w:szCs w:val="20"/>
        </w:rPr>
        <w:t xml:space="preserve">Restitution of Cultural Property, </w:t>
      </w:r>
      <w:r w:rsidRPr="00730810">
        <w:rPr>
          <w:rFonts w:asciiTheme="majorBidi" w:hAnsiTheme="majorBidi" w:cstheme="majorBidi"/>
          <w:color w:val="000000" w:themeColor="text1"/>
          <w:sz w:val="20"/>
          <w:szCs w:val="20"/>
        </w:rPr>
        <w:t xml:space="preserve">&lt;http://www.unesco.org/new/en/culture/themes/restitution-of-cultural-property/return-or-restitution-cases/&gt; (Accessed: 12 November 2016); United Nations Educational, Scientific, and Cultural Organization. “Recent Examples of Successful Operations of Cultural Property Restitutions in the World,” </w:t>
      </w:r>
      <w:r w:rsidRPr="00730810">
        <w:rPr>
          <w:rFonts w:asciiTheme="majorBidi" w:hAnsiTheme="majorBidi" w:cstheme="majorBidi"/>
          <w:i/>
          <w:iCs/>
          <w:color w:val="000000" w:themeColor="text1"/>
          <w:sz w:val="20"/>
          <w:szCs w:val="20"/>
        </w:rPr>
        <w:t xml:space="preserve">Restitution of Cultural Property, </w:t>
      </w:r>
      <w:r w:rsidRPr="00730810">
        <w:rPr>
          <w:rFonts w:asciiTheme="majorBidi" w:hAnsiTheme="majorBidi" w:cstheme="majorBidi"/>
          <w:color w:val="000000" w:themeColor="text1"/>
          <w:sz w:val="20"/>
          <w:szCs w:val="20"/>
        </w:rPr>
        <w:t xml:space="preserve">&lt;http://www.unesco.org/new/en/culture/themes/restitution-of-cultural-property/successful-restitutions-in-the-world/&gt; (Accessed: 12 November 2016); United Nations Educational, Scientific, and Cultural Organization. “Other Cases of Return or Restitution of Cultural Objects,” </w:t>
      </w:r>
      <w:r w:rsidRPr="00730810">
        <w:rPr>
          <w:rFonts w:asciiTheme="majorBidi" w:hAnsiTheme="majorBidi" w:cstheme="majorBidi"/>
          <w:i/>
          <w:iCs/>
          <w:color w:val="000000" w:themeColor="text1"/>
          <w:sz w:val="20"/>
          <w:szCs w:val="20"/>
        </w:rPr>
        <w:t xml:space="preserve">Illicit Trafficking of Cultural Property, </w:t>
      </w:r>
      <w:r w:rsidRPr="00730810">
        <w:rPr>
          <w:rFonts w:asciiTheme="majorBidi" w:hAnsiTheme="majorBidi" w:cstheme="majorBidi"/>
          <w:color w:val="000000" w:themeColor="text1"/>
          <w:sz w:val="20"/>
          <w:szCs w:val="20"/>
        </w:rPr>
        <w:t>&lt; http://www.unesco.org/new/en/culture/themes/illicit-trafficking-of-cultural-property/other-cases-of-return-or-restitution-of-cultural-objects/&gt; (Accessed: 12 November 2016).</w:t>
      </w:r>
    </w:p>
  </w:footnote>
  <w:footnote w:id="6">
    <w:p w14:paraId="3D255CCF" w14:textId="26EAE82A" w:rsidR="004C5636" w:rsidRPr="00730810" w:rsidRDefault="004C5636" w:rsidP="000C00E0">
      <w:pPr>
        <w:widowControl w:val="0"/>
        <w:autoSpaceDE w:val="0"/>
        <w:autoSpaceDN w:val="0"/>
        <w:adjustRightInd w:val="0"/>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Patron, 470; Tess Davis. "Supply and Demand: Exposing the Illicit Trade in Cambodian Antiquities through a Study of Sotheby’s Auction House," </w:t>
      </w:r>
      <w:r w:rsidRPr="00730810">
        <w:rPr>
          <w:rFonts w:asciiTheme="majorBidi" w:hAnsiTheme="majorBidi" w:cstheme="majorBidi"/>
          <w:i/>
          <w:iCs/>
          <w:color w:val="000000" w:themeColor="text1"/>
          <w:sz w:val="20"/>
          <w:szCs w:val="20"/>
        </w:rPr>
        <w:t>Crime, Law and Social Change</w:t>
      </w:r>
      <w:r w:rsidRPr="00730810">
        <w:rPr>
          <w:rFonts w:asciiTheme="majorBidi" w:hAnsiTheme="majorBidi" w:cstheme="majorBidi"/>
          <w:color w:val="000000" w:themeColor="text1"/>
          <w:sz w:val="20"/>
          <w:szCs w:val="20"/>
        </w:rPr>
        <w:t xml:space="preserve"> 56, no. 2 (2011), 155.</w:t>
      </w:r>
    </w:p>
  </w:footnote>
  <w:footnote w:id="7">
    <w:p w14:paraId="38878E3C" w14:textId="60977B57" w:rsidR="004C5636" w:rsidRPr="00730810" w:rsidRDefault="004C5636" w:rsidP="00886E40">
      <w:pPr>
        <w:widowControl w:val="0"/>
        <w:autoSpaceDE w:val="0"/>
        <w:autoSpaceDN w:val="0"/>
        <w:adjustRightInd w:val="0"/>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Patron, 472; Paul Wood. "Display, Restitution and World Art History: The Case of the ‘Benin Bronzes’, "</w:t>
      </w:r>
      <w:r w:rsidRPr="00730810">
        <w:rPr>
          <w:rFonts w:asciiTheme="majorBidi" w:hAnsiTheme="majorBidi" w:cstheme="majorBidi"/>
          <w:i/>
          <w:iCs/>
          <w:color w:val="000000" w:themeColor="text1"/>
          <w:sz w:val="20"/>
          <w:szCs w:val="20"/>
        </w:rPr>
        <w:t>Visual Culture in Britain</w:t>
      </w:r>
      <w:r w:rsidRPr="00730810">
        <w:rPr>
          <w:rFonts w:asciiTheme="majorBidi" w:hAnsiTheme="majorBidi" w:cstheme="majorBidi"/>
          <w:color w:val="000000" w:themeColor="text1"/>
          <w:sz w:val="20"/>
          <w:szCs w:val="20"/>
        </w:rPr>
        <w:t xml:space="preserve"> 13, no. 1 (2012), 121.</w:t>
      </w:r>
    </w:p>
  </w:footnote>
  <w:footnote w:id="8">
    <w:p w14:paraId="055AF3C5" w14:textId="03BAC374" w:rsidR="004C5636" w:rsidRPr="00730810" w:rsidRDefault="004C5636" w:rsidP="000C00E0">
      <w:pPr>
        <w:widowControl w:val="0"/>
        <w:autoSpaceDE w:val="0"/>
        <w:autoSpaceDN w:val="0"/>
        <w:adjustRightInd w:val="0"/>
        <w:rPr>
          <w:rFonts w:asciiTheme="majorBidi" w:hAnsiTheme="majorBidi" w:cstheme="majorBidi"/>
          <w:i/>
          <w:iCs/>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UNESCO. </w:t>
      </w:r>
      <w:r w:rsidRPr="00730810">
        <w:rPr>
          <w:rFonts w:asciiTheme="majorBidi" w:hAnsiTheme="majorBidi" w:cstheme="majorBidi"/>
          <w:i/>
          <w:iCs/>
          <w:color w:val="000000" w:themeColor="text1"/>
          <w:sz w:val="20"/>
          <w:szCs w:val="20"/>
        </w:rPr>
        <w:t>The Fight</w:t>
      </w:r>
      <w:r w:rsidRPr="00730810">
        <w:rPr>
          <w:rFonts w:asciiTheme="majorBidi" w:hAnsiTheme="majorBidi" w:cstheme="majorBidi"/>
          <w:color w:val="000000" w:themeColor="text1"/>
          <w:sz w:val="20"/>
          <w:szCs w:val="20"/>
        </w:rPr>
        <w:t xml:space="preserve">; Davis, 159; Leila Amineddoleh. "The Role of Museums in the Trade of Black Market Cultural Heritage Property," </w:t>
      </w:r>
      <w:r w:rsidRPr="00730810">
        <w:rPr>
          <w:rFonts w:asciiTheme="majorBidi" w:hAnsiTheme="majorBidi" w:cstheme="majorBidi"/>
          <w:i/>
          <w:iCs/>
          <w:color w:val="000000" w:themeColor="text1"/>
          <w:sz w:val="20"/>
          <w:szCs w:val="20"/>
        </w:rPr>
        <w:t>Art, Antiquity &amp; Law</w:t>
      </w:r>
      <w:r w:rsidRPr="00730810">
        <w:rPr>
          <w:rFonts w:asciiTheme="majorBidi" w:hAnsiTheme="majorBidi" w:cstheme="majorBidi"/>
          <w:color w:val="000000" w:themeColor="text1"/>
          <w:sz w:val="20"/>
          <w:szCs w:val="20"/>
        </w:rPr>
        <w:t xml:space="preserve"> 18, no. 3 (October 2013), 223; Simon R. M Mackenzie. "Dig a Bit Deeper: Law, Regulation and the Illicit Antiquities Market," </w:t>
      </w:r>
      <w:r w:rsidRPr="00730810">
        <w:rPr>
          <w:rFonts w:asciiTheme="majorBidi" w:hAnsiTheme="majorBidi" w:cstheme="majorBidi"/>
          <w:i/>
          <w:iCs/>
          <w:color w:val="000000" w:themeColor="text1"/>
          <w:sz w:val="20"/>
          <w:szCs w:val="20"/>
        </w:rPr>
        <w:t>The British Journal of Criminology</w:t>
      </w:r>
      <w:r w:rsidRPr="00730810">
        <w:rPr>
          <w:rFonts w:asciiTheme="majorBidi" w:hAnsiTheme="majorBidi" w:cstheme="majorBidi"/>
          <w:color w:val="000000" w:themeColor="text1"/>
          <w:sz w:val="20"/>
          <w:szCs w:val="20"/>
        </w:rPr>
        <w:t xml:space="preserve"> 45, no. 3 (2005), 265.</w:t>
      </w:r>
    </w:p>
  </w:footnote>
  <w:footnote w:id="9">
    <w:p w14:paraId="6202D67C"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hAnsiTheme="majorBidi" w:cstheme="majorBidi"/>
          <w:color w:val="000000" w:themeColor="text1"/>
          <w:sz w:val="20"/>
          <w:szCs w:val="20"/>
        </w:rPr>
        <w:t xml:space="preserve">UNESCO. </w:t>
      </w:r>
      <w:r w:rsidRPr="00730810">
        <w:rPr>
          <w:rFonts w:asciiTheme="majorBidi" w:hAnsiTheme="majorBidi" w:cstheme="majorBidi"/>
          <w:i/>
          <w:iCs/>
          <w:color w:val="000000" w:themeColor="text1"/>
          <w:sz w:val="20"/>
          <w:szCs w:val="20"/>
        </w:rPr>
        <w:t>The Fight</w:t>
      </w:r>
      <w:r w:rsidRPr="00730810">
        <w:rPr>
          <w:rFonts w:asciiTheme="majorBidi" w:hAnsiTheme="majorBidi" w:cstheme="majorBidi"/>
          <w:color w:val="000000" w:themeColor="text1"/>
          <w:sz w:val="20"/>
          <w:szCs w:val="20"/>
        </w:rPr>
        <w:t>; Patron, 471.</w:t>
      </w:r>
    </w:p>
  </w:footnote>
  <w:footnote w:id="10">
    <w:p w14:paraId="21EB3475"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Patron, 471.</w:t>
      </w:r>
    </w:p>
  </w:footnote>
  <w:footnote w:id="11">
    <w:p w14:paraId="57482513"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Timothy J. Moore. “Australian Illicit Drug Market Data: Sources and Issues,” </w:t>
      </w:r>
      <w:r w:rsidRPr="00730810">
        <w:rPr>
          <w:rFonts w:asciiTheme="majorBidi" w:hAnsiTheme="majorBidi" w:cstheme="majorBidi"/>
          <w:i/>
          <w:iCs/>
          <w:sz w:val="20"/>
          <w:szCs w:val="20"/>
        </w:rPr>
        <w:t>Australian Economic Review</w:t>
      </w:r>
      <w:r w:rsidRPr="00730810">
        <w:rPr>
          <w:rFonts w:asciiTheme="majorBidi" w:hAnsiTheme="majorBidi" w:cstheme="majorBidi"/>
          <w:sz w:val="20"/>
          <w:szCs w:val="20"/>
        </w:rPr>
        <w:t xml:space="preserve"> 39, no. 4 (2006), 442-452; David A. Bright and Alison Ritter. “Retail Price as an Outcome Measure for the Effectiveness of Drug Law Enforcement,” </w:t>
      </w:r>
      <w:r w:rsidRPr="00730810">
        <w:rPr>
          <w:rFonts w:asciiTheme="majorBidi" w:hAnsiTheme="majorBidi" w:cstheme="majorBidi"/>
          <w:i/>
          <w:iCs/>
          <w:sz w:val="20"/>
          <w:szCs w:val="20"/>
        </w:rPr>
        <w:t xml:space="preserve">International Journal of Drug Policy </w:t>
      </w:r>
      <w:r w:rsidRPr="00730810">
        <w:rPr>
          <w:rFonts w:asciiTheme="majorBidi" w:hAnsiTheme="majorBidi" w:cstheme="majorBidi"/>
          <w:sz w:val="20"/>
          <w:szCs w:val="20"/>
        </w:rPr>
        <w:t>21, no. 5 (September 2010), 359-363.</w:t>
      </w:r>
    </w:p>
  </w:footnote>
  <w:footnote w:id="12">
    <w:p w14:paraId="2677BB79" w14:textId="0596DCC4"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See Davis as an example. </w:t>
      </w:r>
    </w:p>
  </w:footnote>
  <w:footnote w:id="13">
    <w:p w14:paraId="29597BDD" w14:textId="68D9FA8A" w:rsidR="004C5636" w:rsidRPr="00A33936" w:rsidRDefault="004C5636" w:rsidP="00A33936">
      <w:pPr>
        <w:widowControl w:val="0"/>
        <w:autoSpaceDE w:val="0"/>
        <w:autoSpaceDN w:val="0"/>
        <w:adjustRightInd w:val="0"/>
        <w:rPr>
          <w:rFonts w:asciiTheme="majorBidi" w:hAnsiTheme="majorBidi" w:cstheme="majorBidi"/>
          <w:color w:val="000000" w:themeColor="text1"/>
          <w:sz w:val="20"/>
          <w:szCs w:val="20"/>
        </w:rPr>
      </w:pPr>
      <w:r w:rsidRPr="007E608A">
        <w:rPr>
          <w:rStyle w:val="FootnoteReference"/>
          <w:rFonts w:asciiTheme="majorBidi" w:hAnsiTheme="majorBidi" w:cstheme="majorBidi"/>
          <w:sz w:val="20"/>
          <w:szCs w:val="20"/>
        </w:rPr>
        <w:footnoteRef/>
      </w:r>
      <w:r w:rsidRPr="007E608A">
        <w:rPr>
          <w:rFonts w:asciiTheme="majorBidi" w:hAnsiTheme="majorBidi" w:cstheme="majorBidi"/>
          <w:sz w:val="20"/>
          <w:szCs w:val="20"/>
        </w:rPr>
        <w:t xml:space="preserve"> </w:t>
      </w:r>
      <w:r w:rsidRPr="00730810">
        <w:rPr>
          <w:rFonts w:asciiTheme="majorBidi" w:hAnsiTheme="majorBidi" w:cstheme="majorBidi"/>
          <w:color w:val="000000" w:themeColor="text1"/>
          <w:sz w:val="20"/>
          <w:szCs w:val="20"/>
        </w:rPr>
        <w:t>Patron, 470; Davis</w:t>
      </w:r>
      <w:r>
        <w:rPr>
          <w:rFonts w:asciiTheme="majorBidi" w:hAnsiTheme="majorBidi" w:cstheme="majorBidi"/>
          <w:color w:val="000000" w:themeColor="text1"/>
          <w:sz w:val="20"/>
          <w:szCs w:val="20"/>
        </w:rPr>
        <w:t>,</w:t>
      </w:r>
      <w:r w:rsidRPr="00730810">
        <w:rPr>
          <w:rFonts w:asciiTheme="majorBidi" w:hAnsiTheme="majorBidi" w:cstheme="majorBidi"/>
          <w:color w:val="000000" w:themeColor="text1"/>
          <w:sz w:val="20"/>
          <w:szCs w:val="20"/>
        </w:rPr>
        <w:t xml:space="preserve"> 155.</w:t>
      </w:r>
    </w:p>
  </w:footnote>
  <w:footnote w:id="14">
    <w:p w14:paraId="05C32911"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Patron, 470; Davis, 155.</w:t>
      </w:r>
    </w:p>
  </w:footnote>
  <w:footnote w:id="15">
    <w:p w14:paraId="326A5F5B" w14:textId="591F81EB"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hAnsiTheme="majorBidi" w:cstheme="majorBidi"/>
          <w:i/>
          <w:iCs/>
          <w:sz w:val="20"/>
          <w:szCs w:val="20"/>
        </w:rPr>
        <w:t>Ibid</w:t>
      </w:r>
      <w:r w:rsidRPr="00730810">
        <w:rPr>
          <w:rFonts w:asciiTheme="majorBidi" w:hAnsiTheme="majorBidi" w:cstheme="majorBidi"/>
          <w:sz w:val="20"/>
          <w:szCs w:val="20"/>
        </w:rPr>
        <w:t>.</w:t>
      </w:r>
    </w:p>
  </w:footnote>
  <w:footnote w:id="16">
    <w:p w14:paraId="2B0B1884"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Patron, 482; Mackenzie, 252.</w:t>
      </w:r>
    </w:p>
  </w:footnote>
  <w:footnote w:id="17">
    <w:p w14:paraId="63B8414A"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hAnsiTheme="majorBidi" w:cstheme="majorBidi"/>
          <w:color w:val="000000" w:themeColor="text1"/>
          <w:sz w:val="20"/>
          <w:szCs w:val="20"/>
        </w:rPr>
        <w:t xml:space="preserve">Davis, 172; Donna Yates. “Church Theft, Insecurity, and Community Justice: The Reality of Source-End Regulation of the Market for Illicit Bolivian Cultural Objects,” </w:t>
      </w:r>
      <w:r w:rsidRPr="00730810">
        <w:rPr>
          <w:rFonts w:asciiTheme="majorBidi" w:hAnsiTheme="majorBidi" w:cstheme="majorBidi"/>
          <w:i/>
          <w:iCs/>
          <w:color w:val="000000" w:themeColor="text1"/>
          <w:sz w:val="20"/>
          <w:szCs w:val="20"/>
        </w:rPr>
        <w:t>European Journal on Criminal Policy and Research</w:t>
      </w:r>
      <w:r w:rsidRPr="00730810">
        <w:rPr>
          <w:rFonts w:asciiTheme="majorBidi" w:hAnsiTheme="majorBidi" w:cstheme="majorBidi"/>
          <w:color w:val="000000" w:themeColor="text1"/>
          <w:sz w:val="20"/>
          <w:szCs w:val="20"/>
        </w:rPr>
        <w:t xml:space="preserve"> 20, no. 20 (December 2014), 445-457; Amineddoleh, 248.</w:t>
      </w:r>
    </w:p>
  </w:footnote>
  <w:footnote w:id="18">
    <w:p w14:paraId="2EAD9CB5"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w:t>
      </w:r>
      <w:r w:rsidRPr="00730810">
        <w:rPr>
          <w:rFonts w:asciiTheme="majorBidi" w:hAnsiTheme="majorBidi" w:cstheme="majorBidi"/>
          <w:i/>
          <w:iCs/>
          <w:color w:val="000000" w:themeColor="text1"/>
          <w:sz w:val="20"/>
          <w:szCs w:val="20"/>
        </w:rPr>
        <w:t>Ibid</w:t>
      </w:r>
      <w:r w:rsidRPr="00730810">
        <w:rPr>
          <w:rFonts w:asciiTheme="majorBidi" w:hAnsiTheme="majorBidi" w:cstheme="majorBidi"/>
          <w:color w:val="000000" w:themeColor="text1"/>
          <w:sz w:val="20"/>
          <w:szCs w:val="20"/>
        </w:rPr>
        <w:t>., 475.</w:t>
      </w:r>
    </w:p>
  </w:footnote>
  <w:footnote w:id="19">
    <w:p w14:paraId="5561AA03" w14:textId="77777777" w:rsidR="004C5636" w:rsidRPr="00730810" w:rsidRDefault="004C5636" w:rsidP="00333B59">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Amineddoleh, 248.</w:t>
      </w:r>
    </w:p>
  </w:footnote>
  <w:footnote w:id="20">
    <w:p w14:paraId="5EA7FD33" w14:textId="05C8C114" w:rsidR="004C5636" w:rsidRPr="00730810" w:rsidRDefault="004C5636" w:rsidP="0041097B">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Patron, 472-473; Wood, 121; Lawrence Rothfield. </w:t>
      </w:r>
      <w:r w:rsidRPr="00730810">
        <w:rPr>
          <w:rFonts w:asciiTheme="majorBidi" w:hAnsiTheme="majorBidi" w:cstheme="majorBidi"/>
          <w:i/>
          <w:iCs/>
          <w:sz w:val="20"/>
          <w:szCs w:val="20"/>
        </w:rPr>
        <w:t>The Rape of Mesopotamia: Behind the Looting of the Iraq Museum</w:t>
      </w:r>
      <w:r w:rsidRPr="00730810">
        <w:rPr>
          <w:rFonts w:asciiTheme="majorBidi" w:hAnsiTheme="majorBidi" w:cstheme="majorBidi"/>
          <w:sz w:val="20"/>
          <w:szCs w:val="20"/>
        </w:rPr>
        <w:t xml:space="preserve">. (Chicago: University of Chicago Press, 2009), 25-26. </w:t>
      </w:r>
    </w:p>
  </w:footnote>
  <w:footnote w:id="21">
    <w:p w14:paraId="6DA98556"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Davis, 168; Patron, 473.</w:t>
      </w:r>
    </w:p>
  </w:footnote>
  <w:footnote w:id="22">
    <w:p w14:paraId="1B6D1F18"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Wood, 115.</w:t>
      </w:r>
    </w:p>
  </w:footnote>
  <w:footnote w:id="23">
    <w:p w14:paraId="444E9018"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Wood, 121; Patron, 473.</w:t>
      </w:r>
    </w:p>
  </w:footnote>
  <w:footnote w:id="24">
    <w:p w14:paraId="59BF25A1" w14:textId="29C42D6D" w:rsidR="004C5636" w:rsidRPr="004C5636" w:rsidRDefault="004C5636">
      <w:pPr>
        <w:pStyle w:val="FootnoteText"/>
        <w:rPr>
          <w:rFonts w:asciiTheme="majorBidi" w:hAnsiTheme="majorBidi" w:cstheme="majorBidi"/>
          <w:sz w:val="20"/>
          <w:szCs w:val="20"/>
        </w:rPr>
      </w:pPr>
      <w:r w:rsidRPr="004C5636">
        <w:rPr>
          <w:rStyle w:val="FootnoteReference"/>
          <w:rFonts w:asciiTheme="majorBidi" w:hAnsiTheme="majorBidi" w:cstheme="majorBidi"/>
          <w:sz w:val="20"/>
          <w:szCs w:val="20"/>
        </w:rPr>
        <w:footnoteRef/>
      </w:r>
      <w:r w:rsidRPr="004C5636">
        <w:rPr>
          <w:rFonts w:asciiTheme="majorBidi" w:hAnsiTheme="majorBidi" w:cstheme="majorBidi"/>
          <w:sz w:val="20"/>
          <w:szCs w:val="20"/>
        </w:rPr>
        <w:t xml:space="preserve"> </w:t>
      </w:r>
      <w:r w:rsidRPr="004C5636">
        <w:rPr>
          <w:rFonts w:asciiTheme="majorBidi" w:hAnsiTheme="majorBidi" w:cstheme="majorBidi"/>
          <w:i/>
          <w:iCs/>
          <w:sz w:val="20"/>
          <w:szCs w:val="20"/>
        </w:rPr>
        <w:t>Ibid</w:t>
      </w:r>
      <w:r w:rsidRPr="004C5636">
        <w:rPr>
          <w:rFonts w:asciiTheme="majorBidi" w:hAnsiTheme="majorBidi" w:cstheme="majorBidi"/>
          <w:sz w:val="20"/>
          <w:szCs w:val="20"/>
        </w:rPr>
        <w:t>.</w:t>
      </w:r>
    </w:p>
  </w:footnote>
  <w:footnote w:id="25">
    <w:p w14:paraId="34C16D96" w14:textId="77777777" w:rsidR="004C5636" w:rsidRPr="00730810" w:rsidRDefault="004C5636" w:rsidP="000C00E0">
      <w:pPr>
        <w:widowControl w:val="0"/>
        <w:autoSpaceDE w:val="0"/>
        <w:autoSpaceDN w:val="0"/>
        <w:adjustRightInd w:val="0"/>
        <w:ind w:left="720" w:hanging="720"/>
        <w:rPr>
          <w:rFonts w:asciiTheme="majorBidi" w:hAnsiTheme="majorBidi" w:cstheme="majorBidi"/>
          <w:i/>
          <w:iCs/>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Wood, 135; </w:t>
      </w:r>
      <w:r w:rsidRPr="00730810">
        <w:rPr>
          <w:rFonts w:asciiTheme="majorBidi" w:hAnsiTheme="majorBidi" w:cstheme="majorBidi"/>
          <w:color w:val="000000" w:themeColor="text1"/>
          <w:sz w:val="20"/>
          <w:szCs w:val="20"/>
        </w:rPr>
        <w:t xml:space="preserve">Amineddoleh, 227; </w:t>
      </w:r>
      <w:r w:rsidRPr="00730810">
        <w:rPr>
          <w:rFonts w:asciiTheme="majorBidi" w:hAnsiTheme="majorBidi" w:cstheme="majorBidi"/>
          <w:sz w:val="20"/>
          <w:szCs w:val="20"/>
        </w:rPr>
        <w:t xml:space="preserve">Robin Francis Rhodes. </w:t>
      </w:r>
      <w:r w:rsidRPr="00730810">
        <w:rPr>
          <w:rFonts w:asciiTheme="majorBidi" w:hAnsiTheme="majorBidi" w:cstheme="majorBidi"/>
          <w:i/>
          <w:iCs/>
          <w:sz w:val="20"/>
          <w:szCs w:val="20"/>
        </w:rPr>
        <w:t xml:space="preserve">The Acquisition and Exhibition of Classical </w:t>
      </w:r>
    </w:p>
    <w:p w14:paraId="14FAC149" w14:textId="3E7FECED" w:rsidR="004C5636" w:rsidRPr="00730810" w:rsidRDefault="004C5636" w:rsidP="000C00E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i/>
          <w:iCs/>
          <w:sz w:val="20"/>
          <w:szCs w:val="20"/>
        </w:rPr>
        <w:t>Antiquities: Professional, Legal, and Ethical Perspectives</w:t>
      </w:r>
      <w:r w:rsidRPr="00730810">
        <w:rPr>
          <w:rFonts w:asciiTheme="majorBidi" w:hAnsiTheme="majorBidi" w:cstheme="majorBidi"/>
          <w:sz w:val="20"/>
          <w:szCs w:val="20"/>
        </w:rPr>
        <w:t>. Notre Dame: University of Notre Dame Press, 2007,</w:t>
      </w:r>
      <w:r w:rsidRPr="00730810">
        <w:rPr>
          <w:rFonts w:asciiTheme="majorBidi" w:hAnsiTheme="majorBidi" w:cstheme="majorBidi"/>
          <w:color w:val="000000" w:themeColor="text1"/>
          <w:sz w:val="20"/>
          <w:szCs w:val="20"/>
        </w:rPr>
        <w:t xml:space="preserve"> 11.</w:t>
      </w:r>
    </w:p>
  </w:footnote>
  <w:footnote w:id="26">
    <w:p w14:paraId="72D5DBD1"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Rhodes, 11.</w:t>
      </w:r>
    </w:p>
  </w:footnote>
  <w:footnote w:id="27">
    <w:p w14:paraId="115EDA03"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Patron, 479.</w:t>
      </w:r>
    </w:p>
  </w:footnote>
  <w:footnote w:id="28">
    <w:p w14:paraId="7EDE6CF1"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Wood, 121.</w:t>
      </w:r>
    </w:p>
  </w:footnote>
  <w:footnote w:id="29">
    <w:p w14:paraId="3606612C"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Rhodes, 19.</w:t>
      </w:r>
    </w:p>
  </w:footnote>
  <w:footnote w:id="30">
    <w:p w14:paraId="5474733E" w14:textId="77777777"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eastAsia="Times New Roman" w:hAnsiTheme="majorBidi" w:cstheme="majorBidi"/>
          <w:sz w:val="20"/>
          <w:szCs w:val="20"/>
        </w:rPr>
        <w:t xml:space="preserve">Amineddoleh, </w:t>
      </w:r>
      <w:r w:rsidRPr="00730810">
        <w:rPr>
          <w:rFonts w:asciiTheme="majorBidi" w:hAnsiTheme="majorBidi" w:cstheme="majorBidi"/>
          <w:sz w:val="20"/>
          <w:szCs w:val="20"/>
        </w:rPr>
        <w:t xml:space="preserve">227-54; David Keane and Valentina Azarov. "UNESCO, Palestine and Archaeology in Conflict." </w:t>
      </w:r>
    </w:p>
    <w:p w14:paraId="503DA72E" w14:textId="77777777"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i/>
          <w:iCs/>
          <w:sz w:val="20"/>
          <w:szCs w:val="20"/>
        </w:rPr>
        <w:t>Denver Journal of International Law and Policy</w:t>
      </w:r>
      <w:r w:rsidRPr="00730810">
        <w:rPr>
          <w:rFonts w:asciiTheme="majorBidi" w:hAnsiTheme="majorBidi" w:cstheme="majorBidi"/>
          <w:sz w:val="20"/>
          <w:szCs w:val="20"/>
        </w:rPr>
        <w:t xml:space="preserve">, (Spring 2013); Christa Roodt. "Restitution of Art and Cultural </w:t>
      </w:r>
    </w:p>
    <w:p w14:paraId="008231E0" w14:textId="77777777"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sz w:val="20"/>
          <w:szCs w:val="20"/>
        </w:rPr>
        <w:t xml:space="preserve">Objects and Its Limits." </w:t>
      </w:r>
      <w:r w:rsidRPr="00730810">
        <w:rPr>
          <w:rFonts w:asciiTheme="majorBidi" w:hAnsiTheme="majorBidi" w:cstheme="majorBidi"/>
          <w:i/>
          <w:iCs/>
          <w:sz w:val="20"/>
          <w:szCs w:val="20"/>
        </w:rPr>
        <w:t>The Comparative and International Law Journal of Southern Africa</w:t>
      </w:r>
      <w:r w:rsidRPr="00730810">
        <w:rPr>
          <w:rFonts w:asciiTheme="majorBidi" w:hAnsiTheme="majorBidi" w:cstheme="majorBidi"/>
          <w:sz w:val="20"/>
          <w:szCs w:val="20"/>
        </w:rPr>
        <w:t xml:space="preserve"> 46, no. 3 (2013), 286-</w:t>
      </w:r>
    </w:p>
    <w:p w14:paraId="6ECF8EF7" w14:textId="77777777"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sz w:val="20"/>
          <w:szCs w:val="20"/>
        </w:rPr>
        <w:t xml:space="preserve">307; Davis, 155; Patron, 465-496; Cameron Semmes Stoll. "The Effects of Judicial Decisions and Patrimony Laws </w:t>
      </w:r>
    </w:p>
    <w:p w14:paraId="17484B4C" w14:textId="77777777"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sz w:val="20"/>
          <w:szCs w:val="20"/>
        </w:rPr>
        <w:t xml:space="preserve">on the Price of Italian Antiquities," </w:t>
      </w:r>
      <w:r w:rsidRPr="00730810">
        <w:rPr>
          <w:rFonts w:asciiTheme="majorBidi" w:hAnsiTheme="majorBidi" w:cstheme="majorBidi"/>
          <w:i/>
          <w:iCs/>
          <w:sz w:val="20"/>
          <w:szCs w:val="20"/>
        </w:rPr>
        <w:t>International Journal of Cultural Property</w:t>
      </w:r>
      <w:r w:rsidRPr="00730810">
        <w:rPr>
          <w:rFonts w:asciiTheme="majorBidi" w:hAnsiTheme="majorBidi" w:cstheme="majorBidi"/>
          <w:sz w:val="20"/>
          <w:szCs w:val="20"/>
        </w:rPr>
        <w:t xml:space="preserve"> 19, no. 1 (February 2012), 65-96; </w:t>
      </w:r>
    </w:p>
    <w:p w14:paraId="110C2634" w14:textId="4B7D6273" w:rsidR="004C5636" w:rsidRPr="00730810" w:rsidRDefault="004C5636" w:rsidP="00E14B00">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color w:val="000000" w:themeColor="text1"/>
          <w:sz w:val="20"/>
          <w:szCs w:val="20"/>
        </w:rPr>
        <w:t>Amineddoleh, 227-254.</w:t>
      </w:r>
    </w:p>
  </w:footnote>
  <w:footnote w:id="31">
    <w:p w14:paraId="1A225729" w14:textId="77777777" w:rsidR="004C5636" w:rsidRPr="00730810" w:rsidRDefault="004C5636" w:rsidP="00426B1E">
      <w:pPr>
        <w:widowControl w:val="0"/>
        <w:autoSpaceDE w:val="0"/>
        <w:autoSpaceDN w:val="0"/>
        <w:adjustRightInd w:val="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UNESCO, </w:t>
      </w:r>
      <w:r w:rsidRPr="00730810">
        <w:rPr>
          <w:rFonts w:asciiTheme="majorBidi" w:hAnsiTheme="majorBidi" w:cstheme="majorBidi"/>
          <w:i/>
          <w:iCs/>
          <w:sz w:val="20"/>
          <w:szCs w:val="20"/>
        </w:rPr>
        <w:t>The Fight</w:t>
      </w:r>
      <w:r w:rsidRPr="00730810">
        <w:rPr>
          <w:rFonts w:asciiTheme="majorBidi" w:hAnsiTheme="majorBidi" w:cstheme="majorBidi"/>
          <w:sz w:val="20"/>
          <w:szCs w:val="20"/>
        </w:rPr>
        <w:t xml:space="preserve">; Davis, 159; </w:t>
      </w:r>
      <w:r w:rsidRPr="00730810">
        <w:rPr>
          <w:rFonts w:asciiTheme="majorBidi" w:eastAsia="Times New Roman" w:hAnsiTheme="majorBidi" w:cstheme="majorBidi"/>
          <w:sz w:val="20"/>
          <w:szCs w:val="20"/>
        </w:rPr>
        <w:t>Amineddoleh, 223.</w:t>
      </w:r>
    </w:p>
  </w:footnote>
  <w:footnote w:id="32">
    <w:p w14:paraId="32767133"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eastAsia="Times New Roman" w:hAnsiTheme="majorBidi" w:cstheme="majorBidi"/>
          <w:sz w:val="20"/>
          <w:szCs w:val="20"/>
        </w:rPr>
        <w:t>Amineddoleh, 223; Mackenzie, 265.</w:t>
      </w:r>
    </w:p>
  </w:footnote>
  <w:footnote w:id="33">
    <w:p w14:paraId="04E178F0"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Roodt, 294; Keane, 343; </w:t>
      </w:r>
      <w:r w:rsidRPr="00730810">
        <w:rPr>
          <w:rFonts w:asciiTheme="majorBidi" w:eastAsia="Times New Roman" w:hAnsiTheme="majorBidi" w:cstheme="majorBidi"/>
          <w:sz w:val="20"/>
          <w:szCs w:val="20"/>
        </w:rPr>
        <w:t>Amineddoleh, 242.</w:t>
      </w:r>
    </w:p>
  </w:footnote>
  <w:footnote w:id="34">
    <w:p w14:paraId="58E946A2" w14:textId="77777777" w:rsidR="004C5636" w:rsidRPr="00730810" w:rsidRDefault="004C5636" w:rsidP="009F3BA6">
      <w:pPr>
        <w:widowControl w:val="0"/>
        <w:autoSpaceDE w:val="0"/>
        <w:autoSpaceDN w:val="0"/>
        <w:adjustRightInd w:val="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UNESCO, </w:t>
      </w:r>
      <w:r w:rsidRPr="00730810">
        <w:rPr>
          <w:rFonts w:asciiTheme="majorBidi" w:hAnsiTheme="majorBidi" w:cstheme="majorBidi"/>
          <w:i/>
          <w:iCs/>
          <w:sz w:val="20"/>
          <w:szCs w:val="20"/>
        </w:rPr>
        <w:t>The Fight</w:t>
      </w:r>
      <w:r w:rsidRPr="00730810">
        <w:rPr>
          <w:rFonts w:asciiTheme="majorBidi" w:hAnsiTheme="majorBidi" w:cstheme="majorBidi"/>
          <w:sz w:val="20"/>
          <w:szCs w:val="20"/>
        </w:rPr>
        <w:t xml:space="preserve">; Davis, 159; </w:t>
      </w:r>
      <w:r w:rsidRPr="00730810">
        <w:rPr>
          <w:rFonts w:asciiTheme="majorBidi" w:eastAsia="Times New Roman" w:hAnsiTheme="majorBidi" w:cstheme="majorBidi"/>
          <w:sz w:val="20"/>
          <w:szCs w:val="20"/>
        </w:rPr>
        <w:t>Amineddoleh, 223.</w:t>
      </w:r>
    </w:p>
  </w:footnote>
  <w:footnote w:id="35">
    <w:p w14:paraId="08479E94" w14:textId="77777777" w:rsidR="004C5636" w:rsidRPr="00730810" w:rsidRDefault="004C5636" w:rsidP="009F3BA6">
      <w:pPr>
        <w:widowControl w:val="0"/>
        <w:autoSpaceDE w:val="0"/>
        <w:autoSpaceDN w:val="0"/>
        <w:adjustRightInd w:val="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UNESCO, </w:t>
      </w:r>
      <w:r w:rsidRPr="00730810">
        <w:rPr>
          <w:rFonts w:asciiTheme="majorBidi" w:hAnsiTheme="majorBidi" w:cstheme="majorBidi"/>
          <w:i/>
          <w:iCs/>
          <w:sz w:val="20"/>
          <w:szCs w:val="20"/>
        </w:rPr>
        <w:t>The Fight</w:t>
      </w:r>
      <w:r w:rsidRPr="00730810">
        <w:rPr>
          <w:rFonts w:asciiTheme="majorBidi" w:hAnsiTheme="majorBidi" w:cstheme="majorBidi"/>
          <w:sz w:val="20"/>
          <w:szCs w:val="20"/>
        </w:rPr>
        <w:t xml:space="preserve">. </w:t>
      </w:r>
    </w:p>
  </w:footnote>
  <w:footnote w:id="36">
    <w:p w14:paraId="3E9B528E"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Davis, 159.</w:t>
      </w:r>
    </w:p>
  </w:footnote>
  <w:footnote w:id="37">
    <w:p w14:paraId="67BAF3AA"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Roodt, 307.</w:t>
      </w:r>
    </w:p>
  </w:footnote>
  <w:footnote w:id="38">
    <w:p w14:paraId="0A22B80C"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Roodt, 307.</w:t>
      </w:r>
    </w:p>
  </w:footnote>
  <w:footnote w:id="39">
    <w:p w14:paraId="70FB5E6D"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Stoll, 91.</w:t>
      </w:r>
    </w:p>
  </w:footnote>
  <w:footnote w:id="40">
    <w:p w14:paraId="76627308"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Keane, 309; Patron, 484.</w:t>
      </w:r>
    </w:p>
  </w:footnote>
  <w:footnote w:id="41">
    <w:p w14:paraId="39E3E86D"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eastAsia="Times New Roman" w:hAnsiTheme="majorBidi" w:cstheme="majorBidi"/>
          <w:sz w:val="20"/>
          <w:szCs w:val="20"/>
        </w:rPr>
        <w:t>Amineddoleh, 223; Mackenzie, 265.</w:t>
      </w:r>
    </w:p>
  </w:footnote>
  <w:footnote w:id="42">
    <w:p w14:paraId="1777DA89"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Mackenzie, 250.</w:t>
      </w:r>
    </w:p>
  </w:footnote>
  <w:footnote w:id="43">
    <w:p w14:paraId="52B19E71" w14:textId="6BE4590E" w:rsidR="00B623FA" w:rsidRPr="00B623FA" w:rsidRDefault="00B623FA">
      <w:pPr>
        <w:pStyle w:val="FootnoteText"/>
        <w:rPr>
          <w:rFonts w:asciiTheme="majorBidi" w:hAnsiTheme="majorBidi" w:cstheme="majorBidi"/>
          <w:sz w:val="20"/>
          <w:szCs w:val="20"/>
        </w:rPr>
      </w:pPr>
      <w:r w:rsidRPr="00B623FA">
        <w:rPr>
          <w:rStyle w:val="FootnoteReference"/>
          <w:rFonts w:asciiTheme="majorBidi" w:hAnsiTheme="majorBidi" w:cstheme="majorBidi"/>
          <w:sz w:val="20"/>
          <w:szCs w:val="20"/>
        </w:rPr>
        <w:footnoteRef/>
      </w:r>
      <w:r w:rsidRPr="00B623FA">
        <w:rPr>
          <w:rFonts w:asciiTheme="majorBidi" w:hAnsiTheme="majorBidi" w:cstheme="majorBidi"/>
          <w:sz w:val="20"/>
          <w:szCs w:val="20"/>
        </w:rPr>
        <w:t xml:space="preserve"> </w:t>
      </w:r>
      <w:r w:rsidRPr="00B623FA">
        <w:rPr>
          <w:rFonts w:asciiTheme="majorBidi" w:hAnsiTheme="majorBidi" w:cstheme="majorBidi"/>
          <w:i/>
          <w:iCs/>
          <w:sz w:val="20"/>
          <w:szCs w:val="20"/>
        </w:rPr>
        <w:t>Ibid</w:t>
      </w:r>
      <w:r w:rsidRPr="00B623FA">
        <w:rPr>
          <w:rFonts w:asciiTheme="majorBidi" w:hAnsiTheme="majorBidi" w:cstheme="majorBidi"/>
          <w:sz w:val="20"/>
          <w:szCs w:val="20"/>
        </w:rPr>
        <w:t>., 265.</w:t>
      </w:r>
    </w:p>
  </w:footnote>
  <w:footnote w:id="44">
    <w:p w14:paraId="6C077855"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Roodt, 293; Davis, 163.</w:t>
      </w:r>
    </w:p>
  </w:footnote>
  <w:footnote w:id="45">
    <w:p w14:paraId="754AB554" w14:textId="73862838" w:rsidR="00240D64" w:rsidRPr="00240D64" w:rsidRDefault="00240D64">
      <w:pPr>
        <w:pStyle w:val="FootnoteText"/>
        <w:rPr>
          <w:rFonts w:asciiTheme="majorBidi" w:hAnsiTheme="majorBidi" w:cstheme="majorBidi"/>
          <w:sz w:val="20"/>
          <w:szCs w:val="20"/>
        </w:rPr>
      </w:pPr>
      <w:r w:rsidRPr="00240D64">
        <w:rPr>
          <w:rStyle w:val="FootnoteReference"/>
          <w:rFonts w:asciiTheme="majorBidi" w:hAnsiTheme="majorBidi" w:cstheme="majorBidi"/>
          <w:sz w:val="20"/>
          <w:szCs w:val="20"/>
        </w:rPr>
        <w:footnoteRef/>
      </w:r>
      <w:r w:rsidRPr="00240D64">
        <w:rPr>
          <w:rFonts w:asciiTheme="majorBidi" w:hAnsiTheme="majorBidi" w:cstheme="majorBidi"/>
          <w:sz w:val="20"/>
          <w:szCs w:val="20"/>
        </w:rPr>
        <w:t xml:space="preserve"> Denis Mack Smith. </w:t>
      </w:r>
      <w:r w:rsidRPr="00240D64">
        <w:rPr>
          <w:rFonts w:asciiTheme="majorBidi" w:hAnsiTheme="majorBidi" w:cstheme="majorBidi"/>
          <w:i/>
          <w:iCs/>
          <w:sz w:val="20"/>
          <w:szCs w:val="20"/>
        </w:rPr>
        <w:t xml:space="preserve">Modern Italy: A Political History. </w:t>
      </w:r>
      <w:r w:rsidRPr="00240D64">
        <w:rPr>
          <w:rFonts w:asciiTheme="majorBidi" w:hAnsiTheme="majorBidi" w:cstheme="majorBidi"/>
          <w:sz w:val="20"/>
          <w:szCs w:val="20"/>
        </w:rPr>
        <w:t>Ann Arbor:</w:t>
      </w:r>
      <w:r w:rsidRPr="00240D64">
        <w:rPr>
          <w:rFonts w:asciiTheme="majorBidi" w:hAnsiTheme="majorBidi" w:cstheme="majorBidi"/>
          <w:i/>
          <w:iCs/>
          <w:sz w:val="20"/>
          <w:szCs w:val="20"/>
        </w:rPr>
        <w:t xml:space="preserve"> </w:t>
      </w:r>
      <w:r w:rsidRPr="00240D64">
        <w:rPr>
          <w:rFonts w:asciiTheme="majorBidi" w:hAnsiTheme="majorBidi" w:cstheme="majorBidi"/>
          <w:sz w:val="20"/>
          <w:szCs w:val="20"/>
        </w:rPr>
        <w:t>University of Michigan Press, 1997.</w:t>
      </w:r>
    </w:p>
  </w:footnote>
  <w:footnote w:id="46">
    <w:p w14:paraId="58BD273A" w14:textId="0B9C2316" w:rsidR="004C5636" w:rsidRPr="00730810" w:rsidRDefault="004C5636" w:rsidP="00E14B00">
      <w:pPr>
        <w:widowControl w:val="0"/>
        <w:autoSpaceDE w:val="0"/>
        <w:autoSpaceDN w:val="0"/>
        <w:adjustRightInd w:val="0"/>
        <w:rPr>
          <w:rFonts w:asciiTheme="majorBidi" w:hAnsiTheme="majorBidi" w:cstheme="majorBidi"/>
          <w:color w:val="000000" w:themeColor="text1"/>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color w:val="000000" w:themeColor="text1"/>
          <w:sz w:val="20"/>
          <w:szCs w:val="20"/>
        </w:rPr>
        <w:t xml:space="preserve"> Amineddoleh, 244.</w:t>
      </w:r>
    </w:p>
  </w:footnote>
  <w:footnote w:id="47">
    <w:p w14:paraId="6B96B861" w14:textId="77777777" w:rsidR="004C5636" w:rsidRPr="00730810" w:rsidRDefault="004C5636" w:rsidP="00333B59">
      <w:pPr>
        <w:rPr>
          <w:rFonts w:asciiTheme="majorBidi" w:eastAsia="Times New Roman" w:hAnsiTheme="majorBidi" w:cstheme="majorBidi"/>
          <w:color w:val="000000"/>
          <w:sz w:val="20"/>
          <w:szCs w:val="20"/>
          <w:shd w:val="clear" w:color="auto" w:fill="FFFFFF"/>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eastAsia="Times New Roman" w:hAnsiTheme="majorBidi" w:cstheme="majorBidi"/>
          <w:color w:val="000000"/>
          <w:sz w:val="20"/>
          <w:szCs w:val="20"/>
          <w:shd w:val="clear" w:color="auto" w:fill="FFFFFF"/>
        </w:rPr>
        <w:t xml:space="preserve">Ali Ersen Erol. “’Please Don’t Be Turk, BE GREEK, BE ARMENIAN’ Agency and Deixis Across Virtualized Turkish Imagined Community,” </w:t>
      </w:r>
      <w:r w:rsidRPr="00730810">
        <w:rPr>
          <w:rFonts w:asciiTheme="majorBidi" w:eastAsia="Times New Roman" w:hAnsiTheme="majorBidi" w:cstheme="majorBidi"/>
          <w:i/>
          <w:iCs/>
          <w:color w:val="000000"/>
          <w:sz w:val="20"/>
          <w:szCs w:val="20"/>
          <w:shd w:val="clear" w:color="auto" w:fill="FFFFFF"/>
        </w:rPr>
        <w:t xml:space="preserve">International Journal of Communication </w:t>
      </w:r>
      <w:r w:rsidRPr="00730810">
        <w:rPr>
          <w:rFonts w:asciiTheme="majorBidi" w:eastAsia="Times New Roman" w:hAnsiTheme="majorBidi" w:cstheme="majorBidi"/>
          <w:color w:val="000000"/>
          <w:sz w:val="20"/>
          <w:szCs w:val="20"/>
          <w:shd w:val="clear" w:color="auto" w:fill="FFFFFF"/>
        </w:rPr>
        <w:t>7, (2013), 743.</w:t>
      </w:r>
    </w:p>
  </w:footnote>
  <w:footnote w:id="48">
    <w:p w14:paraId="102C590D"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Amineddoleh, 244.</w:t>
      </w:r>
    </w:p>
  </w:footnote>
  <w:footnote w:id="49">
    <w:p w14:paraId="44AA2E0D" w14:textId="1697E81C"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United States of America and Italy. “Memorandum of Understanding: Cultural Property,” 13 January 2006.</w:t>
      </w:r>
    </w:p>
  </w:footnote>
  <w:footnote w:id="50">
    <w:p w14:paraId="41F3DAAE" w14:textId="36AE26A1" w:rsidR="004C5636" w:rsidRPr="00730810" w:rsidRDefault="004C5636" w:rsidP="00D4314C">
      <w:pPr>
        <w:pStyle w:val="FootnoteText"/>
        <w:shd w:val="clear" w:color="auto" w:fill="FFFFFF" w:themeFill="background1"/>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 good example of social media analysis: Tobias Denskus and Daniel E. Esser. “Social Media and Global Development Rituals: A Content Analysis of Blogs and Tweets on the 2010 MDG Summit,” </w:t>
      </w:r>
      <w:r w:rsidRPr="00730810">
        <w:rPr>
          <w:rFonts w:asciiTheme="majorBidi" w:hAnsiTheme="majorBidi" w:cstheme="majorBidi"/>
          <w:i/>
          <w:iCs/>
          <w:sz w:val="20"/>
          <w:szCs w:val="20"/>
        </w:rPr>
        <w:t xml:space="preserve">Third World Quarterly </w:t>
      </w:r>
      <w:r w:rsidRPr="00730810">
        <w:rPr>
          <w:rFonts w:asciiTheme="majorBidi" w:hAnsiTheme="majorBidi" w:cstheme="majorBidi"/>
          <w:sz w:val="20"/>
          <w:szCs w:val="20"/>
        </w:rPr>
        <w:t>34, no. 3 (May 2013), 405-422.</w:t>
      </w:r>
    </w:p>
  </w:footnote>
  <w:footnote w:id="51">
    <w:p w14:paraId="6C31BDFC" w14:textId="77777777" w:rsidR="004C5636" w:rsidRPr="00730810" w:rsidRDefault="004C5636" w:rsidP="00333B59">
      <w:pPr>
        <w:pStyle w:val="Heading1"/>
        <w:spacing w:before="0" w:beforeAutospacing="0" w:after="0" w:afterAutospacing="0"/>
        <w:rPr>
          <w:rFonts w:asciiTheme="majorBidi" w:eastAsia="Times New Roman" w:hAnsiTheme="majorBidi" w:cstheme="majorBidi"/>
          <w:b w:val="0"/>
          <w:bCs w:val="0"/>
          <w:color w:val="333333"/>
          <w:spacing w:val="2"/>
          <w:sz w:val="20"/>
          <w:szCs w:val="20"/>
          <w:lang w:val="en"/>
        </w:rPr>
      </w:pPr>
      <w:r w:rsidRPr="00730810">
        <w:rPr>
          <w:rStyle w:val="FootnoteReference"/>
          <w:rFonts w:asciiTheme="majorBidi" w:hAnsiTheme="majorBidi" w:cstheme="majorBidi"/>
          <w:sz w:val="20"/>
          <w:szCs w:val="20"/>
        </w:rPr>
        <w:footnoteRef/>
      </w:r>
      <w:r w:rsidRPr="00730810">
        <w:rPr>
          <w:rFonts w:asciiTheme="majorBidi" w:hAnsiTheme="majorBidi" w:cstheme="majorBidi"/>
          <w:b w:val="0"/>
          <w:bCs w:val="0"/>
          <w:sz w:val="20"/>
          <w:szCs w:val="20"/>
        </w:rPr>
        <w:t xml:space="preserve"> </w:t>
      </w:r>
      <w:r w:rsidRPr="00730810">
        <w:rPr>
          <w:rFonts w:asciiTheme="majorBidi" w:eastAsia="Times New Roman" w:hAnsiTheme="majorBidi" w:cstheme="majorBidi"/>
          <w:b w:val="0"/>
          <w:bCs w:val="0"/>
          <w:color w:val="333333"/>
          <w:sz w:val="20"/>
          <w:szCs w:val="20"/>
        </w:rPr>
        <w:t>Jeruen E. Dery and Dagmar Bittner. “</w:t>
      </w:r>
      <w:r w:rsidRPr="00730810">
        <w:rPr>
          <w:rFonts w:asciiTheme="majorBidi" w:eastAsia="Times New Roman" w:hAnsiTheme="majorBidi" w:cstheme="majorBidi"/>
          <w:b w:val="0"/>
          <w:bCs w:val="0"/>
          <w:color w:val="333333"/>
          <w:spacing w:val="2"/>
          <w:sz w:val="20"/>
          <w:szCs w:val="20"/>
          <w:lang w:val="en"/>
        </w:rPr>
        <w:t xml:space="preserve">Time and Causation in Discourse: Temporal Proximity, Implicit Causality, and Re-mention Biases,” </w:t>
      </w:r>
      <w:r w:rsidRPr="00730810">
        <w:rPr>
          <w:rFonts w:asciiTheme="majorBidi" w:eastAsia="Times New Roman" w:hAnsiTheme="majorBidi" w:cstheme="majorBidi"/>
          <w:b w:val="0"/>
          <w:bCs w:val="0"/>
          <w:i/>
          <w:iCs/>
          <w:color w:val="333333"/>
          <w:spacing w:val="2"/>
          <w:sz w:val="20"/>
          <w:szCs w:val="20"/>
          <w:lang w:val="en"/>
        </w:rPr>
        <w:t xml:space="preserve">Journal of Psycholinguistic Research </w:t>
      </w:r>
      <w:r w:rsidRPr="00730810">
        <w:rPr>
          <w:rFonts w:asciiTheme="majorBidi" w:eastAsia="Times New Roman" w:hAnsiTheme="majorBidi" w:cstheme="majorBidi"/>
          <w:b w:val="0"/>
          <w:bCs w:val="0"/>
          <w:color w:val="333333"/>
          <w:spacing w:val="2"/>
          <w:sz w:val="20"/>
          <w:szCs w:val="20"/>
          <w:lang w:val="en"/>
        </w:rPr>
        <w:t>45, no. 4 (June 2015), 884.</w:t>
      </w:r>
    </w:p>
  </w:footnote>
  <w:footnote w:id="52">
    <w:p w14:paraId="79AB3ED6" w14:textId="3566FA6C"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Gillian Rose. </w:t>
      </w:r>
      <w:r w:rsidRPr="00730810">
        <w:rPr>
          <w:rFonts w:asciiTheme="majorBidi" w:hAnsiTheme="majorBidi" w:cstheme="majorBidi"/>
          <w:i/>
          <w:iCs/>
          <w:sz w:val="20"/>
          <w:szCs w:val="20"/>
        </w:rPr>
        <w:t>Visual Methodologies: An Introduction to the Interpretation of Visual Materials</w:t>
      </w:r>
      <w:r w:rsidRPr="00730810">
        <w:rPr>
          <w:rFonts w:asciiTheme="majorBidi" w:hAnsiTheme="majorBidi" w:cstheme="majorBidi"/>
          <w:sz w:val="20"/>
          <w:szCs w:val="20"/>
        </w:rPr>
        <w:t>. London: Sage, 2001, 6.</w:t>
      </w:r>
    </w:p>
  </w:footnote>
  <w:footnote w:id="53">
    <w:p w14:paraId="245AC7CB" w14:textId="3488E687" w:rsidR="004C5636" w:rsidRPr="00730810" w:rsidRDefault="004C5636" w:rsidP="00EB7058">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Katie Bresner. "Sharing Identity through Indingenous Tourism: Osoyoos Indian Band's Nk'Mip Desert Cultural Centre," </w:t>
      </w:r>
      <w:r w:rsidRPr="00730810">
        <w:rPr>
          <w:rFonts w:asciiTheme="majorBidi" w:hAnsiTheme="majorBidi" w:cstheme="majorBidi"/>
          <w:i/>
          <w:iCs/>
          <w:sz w:val="20"/>
          <w:szCs w:val="20"/>
        </w:rPr>
        <w:t xml:space="preserve">Anthropoligica </w:t>
      </w:r>
      <w:r w:rsidRPr="00730810">
        <w:rPr>
          <w:rFonts w:asciiTheme="majorBidi" w:hAnsiTheme="majorBidi" w:cstheme="majorBidi"/>
          <w:sz w:val="20"/>
          <w:szCs w:val="20"/>
        </w:rPr>
        <w:t xml:space="preserve">56, no. 1 (2014), 140; Marcus Banks. </w:t>
      </w:r>
      <w:r w:rsidRPr="00730810">
        <w:rPr>
          <w:rFonts w:asciiTheme="majorBidi" w:hAnsiTheme="majorBidi" w:cstheme="majorBidi"/>
          <w:i/>
          <w:iCs/>
          <w:sz w:val="20"/>
          <w:szCs w:val="20"/>
        </w:rPr>
        <w:t>Visual Methods in Social Research</w:t>
      </w:r>
      <w:r w:rsidRPr="00730810">
        <w:rPr>
          <w:rFonts w:asciiTheme="majorBidi" w:hAnsiTheme="majorBidi" w:cstheme="majorBidi"/>
          <w:sz w:val="20"/>
          <w:szCs w:val="20"/>
        </w:rPr>
        <w:t>, 1. London: Sage, 2001, 11.</w:t>
      </w:r>
    </w:p>
  </w:footnote>
  <w:footnote w:id="54">
    <w:p w14:paraId="5BC3F294" w14:textId="296DBB39" w:rsidR="004C5636" w:rsidRPr="00730810" w:rsidRDefault="004C5636" w:rsidP="00302DC3">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Carey Jewitt. "A Social Semiotic Analysis of Male Heterosexuality in Sexual Health Resources: the Case of Images" cited in: Jewitt, Carey and Rumiko Oyama. </w:t>
      </w:r>
      <w:r w:rsidRPr="00730810">
        <w:rPr>
          <w:rFonts w:asciiTheme="majorBidi" w:hAnsiTheme="majorBidi" w:cstheme="majorBidi"/>
          <w:i/>
          <w:iCs/>
          <w:sz w:val="20"/>
          <w:szCs w:val="20"/>
        </w:rPr>
        <w:t>Visual Meaning: a Social Semiotic Approach: The Handbook of Visual Analysis</w:t>
      </w:r>
      <w:r w:rsidRPr="00730810">
        <w:rPr>
          <w:rFonts w:asciiTheme="majorBidi" w:hAnsiTheme="majorBidi" w:cstheme="majorBidi"/>
          <w:sz w:val="20"/>
          <w:szCs w:val="20"/>
        </w:rPr>
        <w:t xml:space="preserve">. Cape Town: SAGE Publications, Inc., 2012; Nicki Lisa Cole. “Global Capitalism Organizing Knowledge of Race, Gender, and Class: The Case of Responsible Coffee,” </w:t>
      </w:r>
      <w:r w:rsidRPr="00730810">
        <w:rPr>
          <w:rFonts w:asciiTheme="majorBidi" w:hAnsiTheme="majorBidi" w:cstheme="majorBidi"/>
          <w:i/>
          <w:iCs/>
          <w:sz w:val="20"/>
          <w:szCs w:val="20"/>
        </w:rPr>
        <w:t xml:space="preserve">Race, Gender, and Class </w:t>
      </w:r>
      <w:r w:rsidRPr="00730810">
        <w:rPr>
          <w:rFonts w:asciiTheme="majorBidi" w:hAnsiTheme="majorBidi" w:cstheme="majorBidi"/>
          <w:sz w:val="20"/>
          <w:szCs w:val="20"/>
        </w:rPr>
        <w:t>15, no. 1 (2008), 170-187.</w:t>
      </w:r>
    </w:p>
  </w:footnote>
  <w:footnote w:id="55">
    <w:p w14:paraId="1D2F7E3C" w14:textId="7EFF1C8B"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Anabela da Conceicao Pereira. “Contrasting (Power of) Visual and Textual Discourses In Art Studies: a Critical Perspective,” </w:t>
      </w:r>
      <w:r w:rsidRPr="00730810">
        <w:rPr>
          <w:rFonts w:asciiTheme="majorBidi" w:hAnsiTheme="majorBidi" w:cstheme="majorBidi"/>
          <w:i/>
          <w:iCs/>
          <w:sz w:val="20"/>
          <w:szCs w:val="20"/>
        </w:rPr>
        <w:t xml:space="preserve">Visual Communication </w:t>
      </w:r>
      <w:r w:rsidRPr="00730810">
        <w:rPr>
          <w:rFonts w:asciiTheme="majorBidi" w:hAnsiTheme="majorBidi" w:cstheme="majorBidi"/>
          <w:sz w:val="20"/>
          <w:szCs w:val="20"/>
        </w:rPr>
        <w:t>15, no. 1 (2015), 39.</w:t>
      </w:r>
    </w:p>
  </w:footnote>
  <w:footnote w:id="56">
    <w:p w14:paraId="574447F9" w14:textId="64A6D6A2"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Bresner, 140.</w:t>
      </w:r>
    </w:p>
  </w:footnote>
  <w:footnote w:id="57">
    <w:p w14:paraId="4E86B7D1" w14:textId="3534D76C" w:rsidR="004C5636" w:rsidRPr="00730810" w:rsidRDefault="004C5636" w:rsidP="002F72B8">
      <w:pPr>
        <w:rPr>
          <w:rFonts w:asciiTheme="majorBidi" w:eastAsia="Times New Roman" w:hAnsiTheme="majorBidi" w:cstheme="majorBidi"/>
          <w:sz w:val="20"/>
          <w:szCs w:val="20"/>
          <w:shd w:val="clear" w:color="auto" w:fill="FFFFFF"/>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 model for discourse analysis of key words and phrases: </w:t>
      </w:r>
      <w:r w:rsidRPr="00730810">
        <w:rPr>
          <w:rFonts w:asciiTheme="majorBidi" w:eastAsia="Times New Roman" w:hAnsiTheme="majorBidi" w:cstheme="majorBidi"/>
          <w:sz w:val="20"/>
          <w:szCs w:val="20"/>
          <w:shd w:val="clear" w:color="auto" w:fill="FFFFFF"/>
        </w:rPr>
        <w:t xml:space="preserve">McGuirk, Siobhan. “’God Loves You and It Gets Better’ Ideology, Deixis, and Agency in an Anti-Homophobic Bullying Viral Campaign,” </w:t>
      </w:r>
      <w:r w:rsidRPr="00730810">
        <w:rPr>
          <w:rFonts w:asciiTheme="majorBidi" w:eastAsia="Times New Roman" w:hAnsiTheme="majorBidi" w:cstheme="majorBidi"/>
          <w:i/>
          <w:iCs/>
          <w:sz w:val="20"/>
          <w:szCs w:val="20"/>
          <w:shd w:val="clear" w:color="auto" w:fill="FFFFFF"/>
        </w:rPr>
        <w:t xml:space="preserve">Journal of Language and Sexuality </w:t>
      </w:r>
      <w:r w:rsidRPr="00730810">
        <w:rPr>
          <w:rFonts w:asciiTheme="majorBidi" w:eastAsia="Times New Roman" w:hAnsiTheme="majorBidi" w:cstheme="majorBidi"/>
          <w:sz w:val="20"/>
          <w:szCs w:val="20"/>
          <w:shd w:val="clear" w:color="auto" w:fill="FFFFFF"/>
        </w:rPr>
        <w:t>3, no. 2 (2014), 219-244.</w:t>
      </w:r>
    </w:p>
  </w:footnote>
  <w:footnote w:id="58">
    <w:p w14:paraId="6F9EACA1" w14:textId="77777777" w:rsidR="004C5636" w:rsidRPr="00730810" w:rsidRDefault="004C5636" w:rsidP="00333B59">
      <w:pPr>
        <w:pStyle w:val="FootnoteText"/>
        <w:shd w:val="clear" w:color="auto" w:fill="FFFFFF" w:themeFill="background1"/>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Arma dei Carabinieri. "#Carabinieri the #TPC Recovered," </w:t>
      </w:r>
      <w:r w:rsidRPr="00730810">
        <w:rPr>
          <w:rFonts w:asciiTheme="majorBidi" w:hAnsiTheme="majorBidi" w:cstheme="majorBidi"/>
          <w:i/>
          <w:iCs/>
          <w:color w:val="000000" w:themeColor="text1"/>
          <w:sz w:val="20"/>
          <w:szCs w:val="20"/>
        </w:rPr>
        <w:t>Twitter</w:t>
      </w:r>
      <w:r w:rsidRPr="00730810">
        <w:rPr>
          <w:rFonts w:asciiTheme="majorBidi" w:hAnsiTheme="majorBidi" w:cstheme="majorBidi"/>
          <w:color w:val="000000" w:themeColor="text1"/>
          <w:sz w:val="20"/>
          <w:szCs w:val="20"/>
        </w:rPr>
        <w:t>, 5 December 2016, &lt;</w:t>
      </w:r>
      <w:hyperlink r:id="rId1" w:history="1">
        <w:r w:rsidRPr="00730810">
          <w:rPr>
            <w:rStyle w:val="Hyperlink"/>
            <w:rFonts w:asciiTheme="majorBidi" w:hAnsiTheme="majorBidi" w:cstheme="majorBidi"/>
            <w:color w:val="000000" w:themeColor="text1"/>
            <w:sz w:val="20"/>
            <w:szCs w:val="20"/>
            <w:u w:val="none"/>
          </w:rPr>
          <w:t>https://twitter.com/_Carabinieri_/status/805801671184044032</w:t>
        </w:r>
      </w:hyperlink>
      <w:r w:rsidRPr="00730810">
        <w:rPr>
          <w:rFonts w:asciiTheme="majorBidi" w:hAnsiTheme="majorBidi" w:cstheme="majorBidi"/>
          <w:color w:val="000000" w:themeColor="text1"/>
          <w:sz w:val="20"/>
          <w:szCs w:val="20"/>
        </w:rPr>
        <w:t>&gt; (6 December 2016); FBI. “Love.”</w:t>
      </w:r>
    </w:p>
  </w:footnote>
  <w:footnote w:id="59">
    <w:p w14:paraId="4F3EB115" w14:textId="42FE895B" w:rsidR="004C5636" w:rsidRPr="00730810" w:rsidRDefault="004C5636" w:rsidP="0068425D">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Pr>
          <w:rFonts w:asciiTheme="majorBidi" w:hAnsiTheme="majorBidi" w:cstheme="majorBidi"/>
          <w:sz w:val="20"/>
          <w:szCs w:val="20"/>
        </w:rPr>
        <w:t>Appendix 1.10</w:t>
      </w:r>
    </w:p>
  </w:footnote>
  <w:footnote w:id="60">
    <w:p w14:paraId="6AAD7BEE" w14:textId="77777777" w:rsidR="004C5636" w:rsidRPr="00730810" w:rsidRDefault="004C5636" w:rsidP="00C96425">
      <w:pPr>
        <w:widowControl w:val="0"/>
        <w:autoSpaceDE w:val="0"/>
        <w:autoSpaceDN w:val="0"/>
        <w:adjustRightInd w:val="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Peregrine Shwartz-Shea and Dvora Yanow. </w:t>
      </w:r>
      <w:r w:rsidRPr="00730810">
        <w:rPr>
          <w:rFonts w:asciiTheme="majorBidi" w:hAnsiTheme="majorBidi" w:cstheme="majorBidi"/>
          <w:i/>
          <w:iCs/>
          <w:sz w:val="20"/>
          <w:szCs w:val="20"/>
        </w:rPr>
        <w:t xml:space="preserve">Interpretive Research Design: Concepts and Processes, </w:t>
      </w:r>
      <w:r w:rsidRPr="00730810">
        <w:rPr>
          <w:rFonts w:asciiTheme="majorBidi" w:hAnsiTheme="majorBidi" w:cstheme="majorBidi"/>
          <w:sz w:val="20"/>
          <w:szCs w:val="20"/>
        </w:rPr>
        <w:t xml:space="preserve">edition 1. </w:t>
      </w:r>
    </w:p>
    <w:p w14:paraId="1C783AB8" w14:textId="77777777" w:rsidR="004C5636" w:rsidRPr="00730810" w:rsidRDefault="004C5636" w:rsidP="00333B59">
      <w:pPr>
        <w:widowControl w:val="0"/>
        <w:autoSpaceDE w:val="0"/>
        <w:autoSpaceDN w:val="0"/>
        <w:adjustRightInd w:val="0"/>
        <w:rPr>
          <w:rFonts w:asciiTheme="majorBidi" w:hAnsiTheme="majorBidi" w:cstheme="majorBidi"/>
          <w:sz w:val="20"/>
          <w:szCs w:val="20"/>
        </w:rPr>
      </w:pPr>
      <w:r w:rsidRPr="00730810">
        <w:rPr>
          <w:rFonts w:asciiTheme="majorBidi" w:hAnsiTheme="majorBidi" w:cstheme="majorBidi"/>
          <w:sz w:val="20"/>
          <w:szCs w:val="20"/>
        </w:rPr>
        <w:t>(New York and London: Routledge, 2011), 86. The authors loosely define intertextuality as an interaction between texts with shared meaning making.</w:t>
      </w:r>
    </w:p>
  </w:footnote>
  <w:footnote w:id="61">
    <w:p w14:paraId="5AC2A081"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Iver B. Neumann defines cultural competence as “an in-depth knowledge of a certain context that can include language or familiarity with cultural nuances” in his article: Iver B. Neumann. “Discourse Analysis,” in </w:t>
      </w:r>
      <w:r w:rsidRPr="00730810">
        <w:rPr>
          <w:rFonts w:asciiTheme="majorBidi" w:hAnsiTheme="majorBidi" w:cstheme="majorBidi"/>
          <w:i/>
          <w:iCs/>
          <w:sz w:val="20"/>
          <w:szCs w:val="20"/>
        </w:rPr>
        <w:t xml:space="preserve">Qualitative Methods in International Relations, </w:t>
      </w:r>
      <w:r w:rsidRPr="00730810">
        <w:rPr>
          <w:rFonts w:asciiTheme="majorBidi" w:hAnsiTheme="majorBidi" w:cstheme="majorBidi"/>
          <w:sz w:val="20"/>
          <w:szCs w:val="20"/>
        </w:rPr>
        <w:t>ed. Audie Klotz and Deepa Prakash (Great Britain: Palgrave MacMillan, 2008), 63-64.</w:t>
      </w:r>
    </w:p>
  </w:footnote>
  <w:footnote w:id="62">
    <w:p w14:paraId="7794682D"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sidRPr="00730810">
        <w:rPr>
          <w:rFonts w:asciiTheme="majorBidi" w:hAnsiTheme="majorBidi" w:cstheme="majorBidi"/>
          <w:color w:val="000000" w:themeColor="text1"/>
          <w:sz w:val="20"/>
          <w:szCs w:val="20"/>
        </w:rPr>
        <w:t xml:space="preserve">Bugra Zengin and Isil Gunseli Kacar. “Turkish EFL Academicians’ Problems Concerning Translation Activities and Practices, Attitudes Towards the Use of Online and Printed Translation Tools, And Suggestions for Quality Translation Practice,” </w:t>
      </w:r>
      <w:r w:rsidRPr="00730810">
        <w:rPr>
          <w:rFonts w:asciiTheme="majorBidi" w:hAnsiTheme="majorBidi" w:cstheme="majorBidi"/>
          <w:i/>
          <w:iCs/>
          <w:color w:val="000000" w:themeColor="text1"/>
          <w:sz w:val="20"/>
          <w:szCs w:val="20"/>
        </w:rPr>
        <w:t>The Turkish Online Journal of Educational Technology</w:t>
      </w:r>
      <w:r w:rsidRPr="00730810">
        <w:rPr>
          <w:rFonts w:asciiTheme="majorBidi" w:hAnsiTheme="majorBidi" w:cstheme="majorBidi"/>
          <w:color w:val="000000" w:themeColor="text1"/>
          <w:sz w:val="20"/>
          <w:szCs w:val="20"/>
        </w:rPr>
        <w:t xml:space="preserve"> 10, no. 2 (April 2011), 274.</w:t>
      </w:r>
    </w:p>
  </w:footnote>
  <w:footnote w:id="63">
    <w:p w14:paraId="136D7518"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Schwartz-Shea and Yanow define reflexivity as the systematic consideration of a researcher’s characteristics in their article; Schwartz-Shea and Yanow, 78-114.</w:t>
      </w:r>
    </w:p>
  </w:footnote>
  <w:footnote w:id="64">
    <w:p w14:paraId="06366400" w14:textId="0A6269FA" w:rsidR="004C5636" w:rsidRPr="00730810" w:rsidRDefault="004C5636" w:rsidP="00E14B00">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Shwartz-Shea and Yanow, 78-114.</w:t>
      </w:r>
    </w:p>
  </w:footnote>
  <w:footnote w:id="65">
    <w:p w14:paraId="6931DF2D" w14:textId="77777777" w:rsidR="004C5636" w:rsidRPr="00730810" w:rsidRDefault="004C5636" w:rsidP="00333B5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These steps are: bottom up development, relevance of researcher identity, ability to improvise, and data-cogeneration; </w:t>
      </w:r>
      <w:r w:rsidRPr="00730810">
        <w:rPr>
          <w:rFonts w:asciiTheme="majorBidi" w:hAnsiTheme="majorBidi" w:cstheme="majorBidi"/>
          <w:i/>
          <w:iCs/>
          <w:sz w:val="20"/>
          <w:szCs w:val="20"/>
        </w:rPr>
        <w:t xml:space="preserve">Ibid., </w:t>
      </w:r>
      <w:r w:rsidRPr="00730810">
        <w:rPr>
          <w:rFonts w:asciiTheme="majorBidi" w:hAnsiTheme="majorBidi" w:cstheme="majorBidi"/>
          <w:sz w:val="20"/>
          <w:szCs w:val="20"/>
        </w:rPr>
        <w:t>99</w:t>
      </w:r>
      <w:r w:rsidRPr="00730810">
        <w:rPr>
          <w:rFonts w:asciiTheme="majorBidi" w:hAnsiTheme="majorBidi" w:cstheme="majorBidi"/>
          <w:i/>
          <w:iCs/>
          <w:sz w:val="20"/>
          <w:szCs w:val="20"/>
        </w:rPr>
        <w:t>.</w:t>
      </w:r>
    </w:p>
  </w:footnote>
  <w:footnote w:id="66">
    <w:p w14:paraId="0F59115F" w14:textId="77777777" w:rsidR="004C5636" w:rsidRPr="00730810" w:rsidRDefault="004C5636" w:rsidP="003B7C35">
      <w:pPr>
        <w:widowControl w:val="0"/>
        <w:autoSpaceDE w:val="0"/>
        <w:autoSpaceDN w:val="0"/>
        <w:adjustRightInd w:val="0"/>
        <w:ind w:left="720" w:hanging="72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Federal Bureau of Investigation. "Art Theft," </w:t>
      </w:r>
      <w:r w:rsidRPr="00730810">
        <w:rPr>
          <w:rFonts w:asciiTheme="majorBidi" w:hAnsiTheme="majorBidi" w:cstheme="majorBidi"/>
          <w:i/>
          <w:iCs/>
          <w:sz w:val="20"/>
          <w:szCs w:val="20"/>
        </w:rPr>
        <w:t>What We Investigate</w:t>
      </w:r>
      <w:r w:rsidRPr="00730810">
        <w:rPr>
          <w:rFonts w:asciiTheme="majorBidi" w:hAnsiTheme="majorBidi" w:cstheme="majorBidi"/>
          <w:sz w:val="20"/>
          <w:szCs w:val="20"/>
        </w:rPr>
        <w:t xml:space="preserve">, &lt;https://www.fbi.gov/investigate/violent </w:t>
      </w:r>
    </w:p>
    <w:p w14:paraId="66FC290D" w14:textId="77777777" w:rsidR="004C5636" w:rsidRPr="00730810" w:rsidRDefault="004C5636" w:rsidP="003B7C35">
      <w:pPr>
        <w:widowControl w:val="0"/>
        <w:autoSpaceDE w:val="0"/>
        <w:autoSpaceDN w:val="0"/>
        <w:adjustRightInd w:val="0"/>
        <w:ind w:left="720" w:hanging="720"/>
        <w:rPr>
          <w:rFonts w:asciiTheme="majorBidi" w:hAnsiTheme="majorBidi" w:cstheme="majorBidi"/>
          <w:sz w:val="20"/>
          <w:szCs w:val="20"/>
        </w:rPr>
      </w:pPr>
      <w:r w:rsidRPr="00730810">
        <w:rPr>
          <w:rFonts w:asciiTheme="majorBidi" w:hAnsiTheme="majorBidi" w:cstheme="majorBidi"/>
          <w:sz w:val="20"/>
          <w:szCs w:val="20"/>
        </w:rPr>
        <w:t xml:space="preserve">crime/art-theft&gt; (4 December 2016); Federal Bureau of Investigation. "FBI Art Theft Program," </w:t>
      </w:r>
      <w:r w:rsidRPr="00730810">
        <w:rPr>
          <w:rFonts w:asciiTheme="majorBidi" w:hAnsiTheme="majorBidi" w:cstheme="majorBidi"/>
          <w:i/>
          <w:iCs/>
          <w:sz w:val="20"/>
          <w:szCs w:val="20"/>
        </w:rPr>
        <w:t>YouTube, 1</w:t>
      </w:r>
      <w:r w:rsidRPr="00730810">
        <w:rPr>
          <w:rFonts w:asciiTheme="majorBidi" w:hAnsiTheme="majorBidi" w:cstheme="majorBidi"/>
          <w:sz w:val="20"/>
          <w:szCs w:val="20"/>
        </w:rPr>
        <w:t xml:space="preserve">8 March </w:t>
      </w:r>
    </w:p>
    <w:p w14:paraId="72BFB2C2" w14:textId="77777777" w:rsidR="004C5636" w:rsidRPr="00730810" w:rsidRDefault="004C5636" w:rsidP="003B7C35">
      <w:pPr>
        <w:pStyle w:val="NormalWeb"/>
        <w:spacing w:before="0" w:beforeAutospacing="0" w:after="0" w:afterAutospacing="0"/>
        <w:rPr>
          <w:rFonts w:asciiTheme="majorBidi" w:eastAsia="Times New Roman" w:hAnsiTheme="majorBidi" w:cstheme="majorBidi"/>
          <w:sz w:val="20"/>
          <w:szCs w:val="20"/>
        </w:rPr>
      </w:pPr>
      <w:r w:rsidRPr="00730810">
        <w:rPr>
          <w:rFonts w:asciiTheme="majorBidi" w:hAnsiTheme="majorBidi" w:cstheme="majorBidi"/>
          <w:sz w:val="20"/>
          <w:szCs w:val="20"/>
        </w:rPr>
        <w:t>2013,</w:t>
      </w:r>
      <w:r w:rsidRPr="00730810">
        <w:rPr>
          <w:rFonts w:asciiTheme="majorBidi" w:hAnsiTheme="majorBidi" w:cstheme="majorBidi"/>
          <w:i/>
          <w:iCs/>
          <w:sz w:val="20"/>
          <w:szCs w:val="20"/>
        </w:rPr>
        <w:t xml:space="preserve"> &lt;</w:t>
      </w:r>
      <w:r w:rsidRPr="00730810">
        <w:rPr>
          <w:rFonts w:asciiTheme="majorBidi" w:hAnsiTheme="majorBidi" w:cstheme="majorBidi"/>
          <w:sz w:val="20"/>
          <w:szCs w:val="20"/>
        </w:rPr>
        <w:t>https://www.youtube.com/watch?v=f4HHYXS2MUE&amp;feature=youtu.be&gt; (3 December 2016); Federal Bureau of Investigation. “</w:t>
      </w:r>
      <w:r w:rsidRPr="00730810">
        <w:rPr>
          <w:rFonts w:asciiTheme="majorBidi" w:eastAsia="Times New Roman" w:hAnsiTheme="majorBidi" w:cstheme="majorBidi"/>
          <w:sz w:val="20"/>
          <w:szCs w:val="20"/>
        </w:rPr>
        <w:t xml:space="preserve">FBI New York Hosts Italian Carabinieri in Formal Ceremony to Return Roman Statue Stolen 33 Years Ago,” </w:t>
      </w:r>
      <w:r w:rsidRPr="00730810">
        <w:rPr>
          <w:rFonts w:asciiTheme="majorBidi" w:eastAsia="Times New Roman" w:hAnsiTheme="majorBidi" w:cstheme="majorBidi"/>
          <w:i/>
          <w:iCs/>
          <w:sz w:val="20"/>
          <w:szCs w:val="20"/>
        </w:rPr>
        <w:t>News</w:t>
      </w:r>
      <w:r w:rsidRPr="00730810">
        <w:rPr>
          <w:rFonts w:asciiTheme="majorBidi" w:eastAsia="Times New Roman" w:hAnsiTheme="majorBidi" w:cstheme="majorBidi"/>
          <w:sz w:val="20"/>
          <w:szCs w:val="20"/>
        </w:rPr>
        <w:t>, &lt;</w:t>
      </w:r>
      <w:r w:rsidRPr="00730810">
        <w:rPr>
          <w:rFonts w:asciiTheme="majorBidi" w:hAnsiTheme="majorBidi" w:cstheme="majorBidi"/>
          <w:sz w:val="20"/>
          <w:szCs w:val="20"/>
        </w:rPr>
        <w:t xml:space="preserve"> </w:t>
      </w:r>
      <w:r w:rsidRPr="00730810">
        <w:rPr>
          <w:rFonts w:asciiTheme="majorBidi" w:eastAsia="Times New Roman" w:hAnsiTheme="majorBidi" w:cstheme="majorBidi"/>
          <w:sz w:val="20"/>
          <w:szCs w:val="20"/>
        </w:rPr>
        <w:t>https://www.fbi.gov/contact-us/field-offices/newyork/news/press-releases/fbi-new-york-hosts-italian-carabinieri-in-formal-ceremony-to-return-roman-statue-stolen-33-years-ago&gt; (Accessed: 13 January 2017).</w:t>
      </w:r>
    </w:p>
  </w:footnote>
  <w:footnote w:id="67">
    <w:p w14:paraId="31CA9865" w14:textId="5645C652" w:rsidR="004C5636" w:rsidRPr="00730810" w:rsidRDefault="004C5636" w:rsidP="002D296A">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Pr>
          <w:rFonts w:asciiTheme="majorBidi" w:hAnsiTheme="majorBidi" w:cstheme="majorBidi"/>
          <w:sz w:val="20"/>
          <w:szCs w:val="20"/>
        </w:rPr>
        <w:t>Appendix 1.8</w:t>
      </w:r>
    </w:p>
  </w:footnote>
  <w:footnote w:id="68">
    <w:p w14:paraId="615083C3" w14:textId="0B7C05E5" w:rsidR="004C5636" w:rsidRPr="00730810" w:rsidRDefault="004C5636" w:rsidP="00730810">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Pr>
          <w:rFonts w:asciiTheme="majorBidi" w:hAnsiTheme="majorBidi" w:cstheme="majorBidi"/>
          <w:sz w:val="20"/>
          <w:szCs w:val="20"/>
        </w:rPr>
        <w:t>Appendix 1.3</w:t>
      </w:r>
    </w:p>
  </w:footnote>
  <w:footnote w:id="69">
    <w:p w14:paraId="5732D34B" w14:textId="4657B0FB"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Shwartz-Shea and Yanow, 86. The authors loosely define intertextuality as an interaction between texts with shared meaning making.</w:t>
      </w:r>
    </w:p>
  </w:footnote>
  <w:footnote w:id="70">
    <w:p w14:paraId="3F39B0EA" w14:textId="6FC31BE7" w:rsidR="004C5636" w:rsidRPr="00730810" w:rsidRDefault="004C5636" w:rsidP="002E7189">
      <w:pPr>
        <w:rPr>
          <w:rFonts w:asciiTheme="majorBidi" w:eastAsia="Times New Roman" w:hAnsiTheme="majorBidi" w:cstheme="majorBidi"/>
          <w:sz w:val="20"/>
          <w:szCs w:val="20"/>
          <w:shd w:val="clear" w:color="auto" w:fill="FFFFFF"/>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Pr>
          <w:rFonts w:asciiTheme="majorBidi" w:hAnsiTheme="majorBidi" w:cstheme="majorBidi"/>
          <w:sz w:val="20"/>
          <w:szCs w:val="20"/>
        </w:rPr>
        <w:t xml:space="preserve">Appendix 1.1 – 1.2 </w:t>
      </w:r>
    </w:p>
  </w:footnote>
  <w:footnote w:id="71">
    <w:p w14:paraId="79740584" w14:textId="2B125B5D" w:rsidR="004C5636" w:rsidRPr="00730810" w:rsidRDefault="004C5636" w:rsidP="002E718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w:t>
      </w:r>
      <w:r>
        <w:rPr>
          <w:rFonts w:asciiTheme="majorBidi" w:hAnsiTheme="majorBidi" w:cstheme="majorBidi"/>
          <w:sz w:val="20"/>
          <w:szCs w:val="20"/>
        </w:rPr>
        <w:t>Appendix 1.3</w:t>
      </w:r>
    </w:p>
  </w:footnote>
  <w:footnote w:id="72">
    <w:p w14:paraId="2FDF7EF2" w14:textId="29E1EE7B" w:rsidR="004C5636" w:rsidRPr="00730810" w:rsidRDefault="004C5636" w:rsidP="002D296A">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Example: </w:t>
      </w:r>
      <w:r>
        <w:rPr>
          <w:rFonts w:asciiTheme="majorBidi" w:hAnsiTheme="majorBidi" w:cstheme="majorBidi"/>
          <w:sz w:val="20"/>
          <w:szCs w:val="20"/>
        </w:rPr>
        <w:t>Appendix 1.4</w:t>
      </w:r>
    </w:p>
  </w:footnote>
  <w:footnote w:id="73">
    <w:p w14:paraId="0B63E2EB" w14:textId="686E6FC7" w:rsidR="004C5636" w:rsidRPr="00730810" w:rsidRDefault="004C5636" w:rsidP="002E7189">
      <w:pPr>
        <w:pStyle w:val="NormalWeb"/>
        <w:spacing w:before="0" w:beforeAutospacing="0" w:after="0" w:afterAutospacing="0"/>
        <w:rPr>
          <w:rFonts w:asciiTheme="majorBidi" w:hAnsiTheme="majorBidi" w:cstheme="majorBidi"/>
          <w:color w:val="000000"/>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Appendix 2.1 – 2.2</w:t>
      </w:r>
    </w:p>
  </w:footnote>
  <w:footnote w:id="74">
    <w:p w14:paraId="120509A5" w14:textId="77777777" w:rsidR="004C5636" w:rsidRPr="00730810" w:rsidRDefault="004C5636" w:rsidP="002261FA">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Museo Nazionale Romano. “Sarcophagus of Portanaccio,” &lt; http://www.archeorm.arti.beniculturali.it/en/national-roman-museum-palazzo-massimo-alle-terme/sculptures/sarcophagus-portonaccio&gt; (Accessed: 23 March 2017).</w:t>
      </w:r>
    </w:p>
  </w:footnote>
  <w:footnote w:id="75">
    <w:p w14:paraId="652AF01E" w14:textId="64ACCB89"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See Appendix 2.3 – 2.4</w:t>
      </w:r>
    </w:p>
  </w:footnote>
  <w:footnote w:id="76">
    <w:p w14:paraId="664FC23A" w14:textId="23974F0F" w:rsidR="004C5636" w:rsidRPr="00730810" w:rsidRDefault="004C5636" w:rsidP="002261FA">
      <w:pPr>
        <w:pStyle w:val="FootnoteText"/>
        <w:rPr>
          <w:rFonts w:asciiTheme="majorBidi" w:hAnsiTheme="majorBidi" w:cstheme="majorBidi"/>
          <w:i/>
          <w:iCs/>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Data from 37 individual webpages such as: The Museum of Fine Art Boston. “Torso of a young god or athlete,” </w:t>
      </w:r>
      <w:r w:rsidRPr="00730810">
        <w:rPr>
          <w:rFonts w:asciiTheme="majorBidi" w:hAnsiTheme="majorBidi" w:cstheme="majorBidi"/>
          <w:i/>
          <w:iCs/>
          <w:sz w:val="20"/>
          <w:szCs w:val="20"/>
        </w:rPr>
        <w:t>Art</w:t>
      </w:r>
      <w:r w:rsidRPr="00730810">
        <w:rPr>
          <w:rFonts w:asciiTheme="majorBidi" w:hAnsiTheme="majorBidi" w:cstheme="majorBidi"/>
          <w:sz w:val="20"/>
          <w:szCs w:val="20"/>
        </w:rPr>
        <w:t>, &lt; http://www.mfa.org/collections/object/torso-of-a-young-god-or-athlete-3&gt; (Accessed: 20 March 2017); The Metropolitan Museum of Art. “Bronze statue of an aristocratic boy,” &lt; http://www.metmuseum.org/art/collection/search/248891?sortBy=Relevance&amp;amp;ft=roman&amp;amp;offset=0&amp;amp;rpp=20&amp;amp;pos=3&gt; (Accessed: 21 March 2017).</w:t>
      </w:r>
    </w:p>
  </w:footnote>
  <w:footnote w:id="77">
    <w:p w14:paraId="0FBE9330" w14:textId="57B99503" w:rsidR="004C5636" w:rsidRPr="00730810" w:rsidRDefault="004C5636" w:rsidP="002E718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sidRPr="00730810">
        <w:rPr>
          <w:rFonts w:asciiTheme="majorBidi" w:hAnsiTheme="majorBidi" w:cstheme="majorBidi"/>
          <w:sz w:val="20"/>
          <w:szCs w:val="20"/>
        </w:rPr>
        <w:t>Appendix 3.1 - 3.4.</w:t>
      </w:r>
    </w:p>
  </w:footnote>
  <w:footnote w:id="78">
    <w:p w14:paraId="52186773" w14:textId="05967DAB" w:rsidR="004C5636" w:rsidRPr="00730810" w:rsidRDefault="004C5636" w:rsidP="002E718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Appendix 3.5 - 3.6.</w:t>
      </w:r>
    </w:p>
  </w:footnote>
  <w:footnote w:id="79">
    <w:p w14:paraId="0D458B56" w14:textId="795FB9F9" w:rsidR="004C5636" w:rsidRPr="00730810" w:rsidRDefault="004C5636" w:rsidP="002E718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Appendix 3.7 - 3.8.</w:t>
      </w:r>
    </w:p>
  </w:footnote>
  <w:footnote w:id="80">
    <w:p w14:paraId="2E0CBDF1" w14:textId="03DDC8E0" w:rsidR="002D630A" w:rsidRPr="002D630A" w:rsidRDefault="002D630A">
      <w:pPr>
        <w:pStyle w:val="FootnoteText"/>
        <w:rPr>
          <w:rFonts w:asciiTheme="majorBidi" w:hAnsiTheme="majorBidi" w:cstheme="majorBidi"/>
          <w:sz w:val="20"/>
          <w:szCs w:val="20"/>
        </w:rPr>
      </w:pPr>
      <w:r w:rsidRPr="002D630A">
        <w:rPr>
          <w:rStyle w:val="FootnoteReference"/>
          <w:rFonts w:asciiTheme="majorBidi" w:hAnsiTheme="majorBidi" w:cstheme="majorBidi"/>
          <w:sz w:val="20"/>
          <w:szCs w:val="20"/>
        </w:rPr>
        <w:footnoteRef/>
      </w:r>
      <w:r w:rsidRPr="002D630A">
        <w:rPr>
          <w:rFonts w:asciiTheme="majorBidi" w:hAnsiTheme="majorBidi" w:cstheme="majorBidi"/>
          <w:sz w:val="20"/>
          <w:szCs w:val="20"/>
        </w:rPr>
        <w:t xml:space="preserve"> Keane, 309; Patron, 484; Amineddoleh, 223; Mackenzie, 265.</w:t>
      </w:r>
    </w:p>
  </w:footnote>
  <w:footnote w:id="81">
    <w:p w14:paraId="192E1A24" w14:textId="3FB70F35" w:rsidR="00C216E9" w:rsidRPr="00C216E9" w:rsidRDefault="00C216E9">
      <w:pPr>
        <w:pStyle w:val="FootnoteText"/>
        <w:rPr>
          <w:rFonts w:asciiTheme="majorBidi" w:hAnsiTheme="majorBidi" w:cstheme="majorBidi"/>
          <w:sz w:val="20"/>
          <w:szCs w:val="20"/>
        </w:rPr>
      </w:pPr>
      <w:r w:rsidRPr="00C216E9">
        <w:rPr>
          <w:rStyle w:val="FootnoteReference"/>
          <w:rFonts w:asciiTheme="majorBidi" w:hAnsiTheme="majorBidi" w:cstheme="majorBidi"/>
          <w:sz w:val="20"/>
          <w:szCs w:val="20"/>
        </w:rPr>
        <w:footnoteRef/>
      </w:r>
      <w:r w:rsidRPr="00C216E9">
        <w:rPr>
          <w:rFonts w:asciiTheme="majorBidi" w:hAnsiTheme="majorBidi" w:cstheme="majorBidi"/>
          <w:sz w:val="20"/>
          <w:szCs w:val="20"/>
        </w:rPr>
        <w:t xml:space="preserve"> Keane, 309; Patron, 484; Amineddoleh, 223; Mackenzie, 265.</w:t>
      </w:r>
    </w:p>
  </w:footnote>
  <w:footnote w:id="82">
    <w:p w14:paraId="0A373759" w14:textId="693E9A89" w:rsidR="00D80117" w:rsidRPr="00D80117" w:rsidRDefault="00D80117">
      <w:pPr>
        <w:pStyle w:val="FootnoteText"/>
        <w:rPr>
          <w:rFonts w:asciiTheme="majorBidi" w:hAnsiTheme="majorBidi" w:cstheme="majorBidi"/>
          <w:sz w:val="20"/>
          <w:szCs w:val="20"/>
        </w:rPr>
      </w:pPr>
      <w:r w:rsidRPr="00D80117">
        <w:rPr>
          <w:rStyle w:val="FootnoteReference"/>
          <w:rFonts w:asciiTheme="majorBidi" w:hAnsiTheme="majorBidi" w:cstheme="majorBidi"/>
          <w:sz w:val="20"/>
          <w:szCs w:val="20"/>
        </w:rPr>
        <w:footnoteRef/>
      </w:r>
      <w:r w:rsidRPr="00D80117">
        <w:rPr>
          <w:rFonts w:asciiTheme="majorBidi" w:hAnsiTheme="majorBidi" w:cstheme="majorBidi"/>
          <w:sz w:val="20"/>
          <w:szCs w:val="20"/>
        </w:rPr>
        <w:t xml:space="preserve"> Rhodes, 11; Wood, 115; Patron, 470; Davis, 155.</w:t>
      </w:r>
    </w:p>
  </w:footnote>
  <w:footnote w:id="83">
    <w:p w14:paraId="44D89F0A" w14:textId="776E65D0" w:rsidR="00AE5957" w:rsidRPr="0076168B" w:rsidRDefault="00AE5957">
      <w:pPr>
        <w:pStyle w:val="FootnoteText"/>
        <w:rPr>
          <w:rFonts w:asciiTheme="majorBidi" w:hAnsiTheme="majorBidi" w:cstheme="majorBidi"/>
          <w:sz w:val="20"/>
          <w:szCs w:val="20"/>
        </w:rPr>
      </w:pPr>
      <w:r w:rsidRPr="0076168B">
        <w:rPr>
          <w:rStyle w:val="FootnoteReference"/>
          <w:rFonts w:asciiTheme="majorBidi" w:hAnsiTheme="majorBidi" w:cstheme="majorBidi"/>
          <w:sz w:val="20"/>
          <w:szCs w:val="20"/>
        </w:rPr>
        <w:footnoteRef/>
      </w:r>
      <w:r w:rsidRPr="0076168B">
        <w:rPr>
          <w:rFonts w:asciiTheme="majorBidi" w:hAnsiTheme="majorBidi" w:cstheme="majorBidi"/>
          <w:sz w:val="20"/>
          <w:szCs w:val="20"/>
        </w:rPr>
        <w:t xml:space="preserve"> </w:t>
      </w:r>
      <w:r w:rsidR="0076168B" w:rsidRPr="0076168B">
        <w:rPr>
          <w:rFonts w:asciiTheme="majorBidi" w:hAnsiTheme="majorBidi" w:cstheme="majorBidi"/>
          <w:sz w:val="20"/>
          <w:szCs w:val="20"/>
        </w:rPr>
        <w:t>Keane Azarov, 310-315; Davis, 168.</w:t>
      </w:r>
    </w:p>
  </w:footnote>
  <w:footnote w:id="84">
    <w:p w14:paraId="1CABE536" w14:textId="77777777" w:rsidR="00AE5957" w:rsidRPr="003D6D13" w:rsidRDefault="00AE5957" w:rsidP="00AE5957">
      <w:pPr>
        <w:pStyle w:val="FootnoteText"/>
        <w:rPr>
          <w:rFonts w:asciiTheme="majorBidi" w:hAnsiTheme="majorBidi" w:cstheme="majorBidi"/>
          <w:sz w:val="20"/>
          <w:szCs w:val="20"/>
        </w:rPr>
      </w:pPr>
      <w:r w:rsidRPr="003D6D13">
        <w:rPr>
          <w:rStyle w:val="FootnoteReference"/>
          <w:rFonts w:asciiTheme="majorBidi" w:hAnsiTheme="majorBidi" w:cstheme="majorBidi"/>
          <w:sz w:val="20"/>
          <w:szCs w:val="20"/>
        </w:rPr>
        <w:footnoteRef/>
      </w:r>
      <w:r w:rsidRPr="003D6D13">
        <w:rPr>
          <w:rFonts w:asciiTheme="majorBidi" w:hAnsiTheme="majorBidi" w:cstheme="majorBidi"/>
          <w:sz w:val="20"/>
          <w:szCs w:val="20"/>
        </w:rPr>
        <w:t xml:space="preserve"> Davis, 168; Patron, 473.</w:t>
      </w:r>
    </w:p>
  </w:footnote>
  <w:footnote w:id="85">
    <w:p w14:paraId="28E530AF" w14:textId="36A9389D" w:rsidR="004F7E5E" w:rsidRPr="004F7E5E" w:rsidRDefault="004F7E5E">
      <w:pPr>
        <w:pStyle w:val="FootnoteText"/>
        <w:rPr>
          <w:rFonts w:asciiTheme="majorBidi" w:hAnsiTheme="majorBidi" w:cstheme="majorBidi"/>
          <w:sz w:val="20"/>
          <w:szCs w:val="20"/>
        </w:rPr>
      </w:pPr>
      <w:r w:rsidRPr="004F7E5E">
        <w:rPr>
          <w:rStyle w:val="FootnoteReference"/>
          <w:rFonts w:asciiTheme="majorBidi" w:hAnsiTheme="majorBidi" w:cstheme="majorBidi"/>
          <w:sz w:val="20"/>
          <w:szCs w:val="20"/>
        </w:rPr>
        <w:footnoteRef/>
      </w:r>
      <w:r w:rsidRPr="004F7E5E">
        <w:rPr>
          <w:rFonts w:asciiTheme="majorBidi" w:hAnsiTheme="majorBidi" w:cstheme="majorBidi"/>
          <w:sz w:val="20"/>
          <w:szCs w:val="20"/>
        </w:rPr>
        <w:t xml:space="preserve"> Amineddoleh, 244.</w:t>
      </w:r>
    </w:p>
  </w:footnote>
  <w:footnote w:id="86">
    <w:p w14:paraId="53376C33" w14:textId="77777777" w:rsidR="004F7E5E" w:rsidRPr="00730810" w:rsidRDefault="004F7E5E" w:rsidP="004F7E5E">
      <w:pPr>
        <w:pStyle w:val="FootnoteText"/>
        <w:rPr>
          <w:rFonts w:asciiTheme="majorBidi" w:hAnsiTheme="majorBidi" w:cstheme="majorBidi"/>
          <w:color w:val="000000" w:themeColor="text1"/>
          <w:sz w:val="20"/>
          <w:szCs w:val="20"/>
        </w:rPr>
      </w:pPr>
      <w:r w:rsidRPr="00730810">
        <w:rPr>
          <w:rStyle w:val="FootnoteReference"/>
          <w:rFonts w:asciiTheme="majorBidi" w:hAnsiTheme="majorBidi" w:cstheme="majorBidi"/>
          <w:color w:val="000000" w:themeColor="text1"/>
          <w:sz w:val="20"/>
          <w:szCs w:val="20"/>
        </w:rPr>
        <w:footnoteRef/>
      </w:r>
      <w:r w:rsidRPr="00730810">
        <w:rPr>
          <w:rFonts w:asciiTheme="majorBidi" w:hAnsiTheme="majorBidi" w:cstheme="majorBidi"/>
          <w:color w:val="000000" w:themeColor="text1"/>
          <w:sz w:val="20"/>
          <w:szCs w:val="20"/>
        </w:rPr>
        <w:t xml:space="preserve"> Amineddoleh, 248.</w:t>
      </w:r>
    </w:p>
  </w:footnote>
  <w:footnote w:id="87">
    <w:p w14:paraId="0E296C77" w14:textId="7CA1053F" w:rsidR="002D630A" w:rsidRPr="002D630A" w:rsidRDefault="002D630A">
      <w:pPr>
        <w:pStyle w:val="FootnoteText"/>
        <w:rPr>
          <w:rFonts w:asciiTheme="majorBidi" w:hAnsiTheme="majorBidi" w:cstheme="majorBidi"/>
          <w:sz w:val="20"/>
          <w:szCs w:val="20"/>
        </w:rPr>
      </w:pPr>
      <w:r w:rsidRPr="002D630A">
        <w:rPr>
          <w:rStyle w:val="FootnoteReference"/>
          <w:rFonts w:asciiTheme="majorBidi" w:hAnsiTheme="majorBidi" w:cstheme="majorBidi"/>
          <w:sz w:val="20"/>
          <w:szCs w:val="20"/>
        </w:rPr>
        <w:footnoteRef/>
      </w:r>
      <w:r w:rsidRPr="002D630A">
        <w:rPr>
          <w:rFonts w:asciiTheme="majorBidi" w:hAnsiTheme="majorBidi" w:cstheme="majorBidi"/>
          <w:sz w:val="20"/>
          <w:szCs w:val="20"/>
        </w:rPr>
        <w:t xml:space="preserve"> Davis, 165.</w:t>
      </w:r>
    </w:p>
  </w:footnote>
  <w:footnote w:id="88">
    <w:p w14:paraId="42516260" w14:textId="77777777" w:rsidR="004C5636" w:rsidRPr="00730810" w:rsidRDefault="004C5636" w:rsidP="002261FA">
      <w:pPr>
        <w:widowControl w:val="0"/>
        <w:autoSpaceDE w:val="0"/>
        <w:autoSpaceDN w:val="0"/>
        <w:adjustRightInd w:val="0"/>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Amineddoleh, 244; Davis 172; Mackenzie, 244.</w:t>
      </w:r>
    </w:p>
  </w:footnote>
  <w:footnote w:id="89">
    <w:p w14:paraId="462C0585" w14:textId="77777777" w:rsidR="004C5636" w:rsidRPr="00730810" w:rsidRDefault="004C5636" w:rsidP="002261FA">
      <w:pPr>
        <w:rPr>
          <w:rFonts w:asciiTheme="majorBidi" w:hAnsiTheme="majorBidi" w:cstheme="majorBidi"/>
          <w:i/>
          <w:iCs/>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Michael Balter. “University Suppresses Report on Provenance of Iraqi Antiquities,” </w:t>
      </w:r>
      <w:r w:rsidRPr="00730810">
        <w:rPr>
          <w:rFonts w:asciiTheme="majorBidi" w:hAnsiTheme="majorBidi" w:cstheme="majorBidi"/>
          <w:i/>
          <w:iCs/>
          <w:sz w:val="20"/>
          <w:szCs w:val="20"/>
        </w:rPr>
        <w:t xml:space="preserve">Science </w:t>
      </w:r>
      <w:r w:rsidRPr="00730810">
        <w:rPr>
          <w:rFonts w:asciiTheme="majorBidi" w:hAnsiTheme="majorBidi" w:cstheme="majorBidi"/>
          <w:sz w:val="20"/>
          <w:szCs w:val="20"/>
        </w:rPr>
        <w:t>318, no. 5850 (October 2007), 554-555.</w:t>
      </w:r>
    </w:p>
  </w:footnote>
  <w:footnote w:id="90">
    <w:p w14:paraId="04BB5555" w14:textId="0A9667F7" w:rsidR="002D630A" w:rsidRPr="002D630A" w:rsidRDefault="002D630A">
      <w:pPr>
        <w:pStyle w:val="FootnoteText"/>
        <w:rPr>
          <w:rFonts w:asciiTheme="majorBidi" w:hAnsiTheme="majorBidi" w:cstheme="majorBidi"/>
          <w:sz w:val="20"/>
          <w:szCs w:val="20"/>
        </w:rPr>
      </w:pPr>
      <w:r w:rsidRPr="002D630A">
        <w:rPr>
          <w:rStyle w:val="FootnoteReference"/>
          <w:rFonts w:asciiTheme="majorBidi" w:hAnsiTheme="majorBidi" w:cstheme="majorBidi"/>
          <w:sz w:val="20"/>
          <w:szCs w:val="20"/>
        </w:rPr>
        <w:footnoteRef/>
      </w:r>
      <w:r w:rsidRPr="002D630A">
        <w:rPr>
          <w:rFonts w:asciiTheme="majorBidi" w:hAnsiTheme="majorBidi" w:cstheme="majorBidi"/>
          <w:sz w:val="20"/>
          <w:szCs w:val="20"/>
        </w:rPr>
        <w:t xml:space="preserve"> Davis, 165-166.</w:t>
      </w:r>
    </w:p>
  </w:footnote>
  <w:footnote w:id="91">
    <w:p w14:paraId="15126340" w14:textId="7BF4128C" w:rsidR="008F6E1B" w:rsidRDefault="008F6E1B">
      <w:pPr>
        <w:pStyle w:val="FootnoteText"/>
      </w:pPr>
      <w:r w:rsidRPr="008F6E1B">
        <w:rPr>
          <w:rStyle w:val="FootnoteReference"/>
          <w:rFonts w:asciiTheme="majorBidi" w:hAnsiTheme="majorBidi" w:cstheme="majorBidi"/>
          <w:sz w:val="20"/>
          <w:szCs w:val="20"/>
        </w:rPr>
        <w:footnoteRef/>
      </w:r>
      <w:r w:rsidRPr="008F6E1B">
        <w:rPr>
          <w:rFonts w:asciiTheme="majorBidi" w:hAnsiTheme="majorBidi" w:cstheme="majorBidi"/>
          <w:sz w:val="20"/>
          <w:szCs w:val="20"/>
        </w:rPr>
        <w:t xml:space="preserve"> Davis, 159; Mackenzie, 250.</w:t>
      </w:r>
    </w:p>
  </w:footnote>
  <w:footnote w:id="92">
    <w:p w14:paraId="2D7C935D" w14:textId="76694CAD" w:rsidR="00F46A9C" w:rsidRPr="00F46A9C" w:rsidRDefault="00F46A9C" w:rsidP="00F46A9C">
      <w:pPr>
        <w:pStyle w:val="FootnoteText"/>
        <w:rPr>
          <w:rFonts w:asciiTheme="majorBidi" w:hAnsiTheme="majorBidi" w:cstheme="majorBidi"/>
          <w:sz w:val="20"/>
          <w:szCs w:val="20"/>
        </w:rPr>
      </w:pPr>
      <w:r w:rsidRPr="00F46A9C">
        <w:rPr>
          <w:rStyle w:val="FootnoteReference"/>
          <w:rFonts w:asciiTheme="majorBidi" w:hAnsiTheme="majorBidi" w:cstheme="majorBidi"/>
          <w:sz w:val="20"/>
          <w:szCs w:val="20"/>
        </w:rPr>
        <w:footnoteRef/>
      </w:r>
      <w:r w:rsidRPr="00F46A9C">
        <w:rPr>
          <w:rFonts w:asciiTheme="majorBidi" w:hAnsiTheme="majorBidi" w:cstheme="majorBidi"/>
          <w:sz w:val="20"/>
          <w:szCs w:val="20"/>
        </w:rPr>
        <w:t xml:space="preserve"> The United States of America and Italy. “Memorandum of Understanding: Cultural Property,” 13 January 2006.</w:t>
      </w:r>
    </w:p>
  </w:footnote>
  <w:footnote w:id="93">
    <w:p w14:paraId="2FEB96BB" w14:textId="050A86B4" w:rsidR="003A4424" w:rsidRPr="003A4424" w:rsidRDefault="003A4424">
      <w:pPr>
        <w:pStyle w:val="FootnoteText"/>
        <w:rPr>
          <w:rFonts w:asciiTheme="majorBidi" w:hAnsiTheme="majorBidi" w:cstheme="majorBidi"/>
          <w:sz w:val="20"/>
          <w:szCs w:val="20"/>
        </w:rPr>
      </w:pPr>
      <w:r w:rsidRPr="003A4424">
        <w:rPr>
          <w:rStyle w:val="FootnoteReference"/>
          <w:rFonts w:asciiTheme="majorBidi" w:hAnsiTheme="majorBidi" w:cstheme="majorBidi"/>
          <w:sz w:val="20"/>
          <w:szCs w:val="20"/>
        </w:rPr>
        <w:footnoteRef/>
      </w:r>
      <w:r w:rsidRPr="003A4424">
        <w:rPr>
          <w:rFonts w:asciiTheme="majorBidi" w:hAnsiTheme="majorBidi" w:cstheme="majorBidi"/>
          <w:sz w:val="20"/>
          <w:szCs w:val="20"/>
        </w:rPr>
        <w:t xml:space="preserve"> Mackenzie, 265.</w:t>
      </w:r>
    </w:p>
  </w:footnote>
  <w:footnote w:id="94">
    <w:p w14:paraId="51F1E9C3" w14:textId="4FF9BA84"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“Check out,” </w:t>
      </w:r>
      <w:r w:rsidRPr="00730810">
        <w:rPr>
          <w:rFonts w:asciiTheme="majorBidi" w:hAnsiTheme="majorBidi" w:cstheme="majorBidi"/>
          <w:i/>
          <w:iCs/>
          <w:sz w:val="20"/>
          <w:szCs w:val="20"/>
        </w:rPr>
        <w:t>Twitter</w:t>
      </w:r>
      <w:r w:rsidRPr="00730810">
        <w:rPr>
          <w:rFonts w:asciiTheme="majorBidi" w:hAnsiTheme="majorBidi" w:cstheme="majorBidi"/>
          <w:sz w:val="20"/>
          <w:szCs w:val="20"/>
        </w:rPr>
        <w:t xml:space="preserve">, &lt;https://twitter.com/HeritageAtState/status/605695505797120000&gt; (Accessed: 12 November 2016); Heritage at State. “#TBT @ICEgov,” </w:t>
      </w:r>
      <w:r w:rsidRPr="00730810">
        <w:rPr>
          <w:rFonts w:asciiTheme="majorBidi" w:hAnsiTheme="majorBidi" w:cstheme="majorBidi"/>
          <w:i/>
          <w:iCs/>
          <w:sz w:val="20"/>
          <w:szCs w:val="20"/>
        </w:rPr>
        <w:t>Twitter</w:t>
      </w:r>
      <w:r w:rsidRPr="00730810">
        <w:rPr>
          <w:rFonts w:asciiTheme="majorBidi" w:hAnsiTheme="majorBidi" w:cstheme="majorBidi"/>
          <w:sz w:val="20"/>
          <w:szCs w:val="20"/>
        </w:rPr>
        <w:t>, &lt; https://twitter.com/HeritageAtState/status/718061491644145665&gt; (Accessed: 10 November 2016)</w:t>
      </w:r>
    </w:p>
  </w:footnote>
  <w:footnote w:id="95">
    <w:p w14:paraId="3CDD9FAE" w14:textId="3A70A907"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FBI New York. “#FBI hosts,” </w:t>
      </w:r>
      <w:r w:rsidRPr="00730810">
        <w:rPr>
          <w:rFonts w:asciiTheme="majorBidi" w:hAnsiTheme="majorBidi" w:cstheme="majorBidi"/>
          <w:i/>
          <w:iCs/>
          <w:sz w:val="20"/>
          <w:szCs w:val="20"/>
        </w:rPr>
        <w:t>Twitter</w:t>
      </w:r>
      <w:r w:rsidRPr="00730810">
        <w:rPr>
          <w:rFonts w:asciiTheme="majorBidi" w:hAnsiTheme="majorBidi" w:cstheme="majorBidi"/>
          <w:sz w:val="20"/>
          <w:szCs w:val="20"/>
        </w:rPr>
        <w:t>, &lt;https://twitter.com/NewYorkFBI/status/806593008766304256&gt; (Accessed: 18 December 2016).</w:t>
      </w:r>
    </w:p>
  </w:footnote>
  <w:footnote w:id="96">
    <w:p w14:paraId="14C3BCA5" w14:textId="3C8236F8"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ARCA. “On the repatriation,” </w:t>
      </w:r>
      <w:r w:rsidRPr="00730810">
        <w:rPr>
          <w:rFonts w:asciiTheme="majorBidi" w:hAnsiTheme="majorBidi" w:cstheme="majorBidi"/>
          <w:i/>
          <w:iCs/>
          <w:sz w:val="20"/>
          <w:szCs w:val="20"/>
        </w:rPr>
        <w:t>Twitter</w:t>
      </w:r>
      <w:r w:rsidRPr="00730810">
        <w:rPr>
          <w:rFonts w:asciiTheme="majorBidi" w:hAnsiTheme="majorBidi" w:cstheme="majorBidi"/>
          <w:sz w:val="20"/>
          <w:szCs w:val="20"/>
        </w:rPr>
        <w:t>, &lt; https://twitter.com/ARCA_artcrime/status/807194694530777088&gt; (Accessed: 14 January 2017).</w:t>
      </w:r>
    </w:p>
  </w:footnote>
  <w:footnote w:id="97">
    <w:p w14:paraId="6123BB1D" w14:textId="2716D6C8" w:rsidR="004C5636" w:rsidRPr="002E7189" w:rsidRDefault="004C5636">
      <w:pPr>
        <w:pStyle w:val="FootnoteText"/>
        <w:rPr>
          <w:rFonts w:asciiTheme="majorBidi" w:hAnsiTheme="majorBidi" w:cstheme="majorBidi"/>
          <w:sz w:val="20"/>
          <w:szCs w:val="20"/>
        </w:rPr>
      </w:pPr>
      <w:r w:rsidRPr="002E7189">
        <w:rPr>
          <w:rStyle w:val="FootnoteReference"/>
          <w:rFonts w:asciiTheme="majorBidi" w:hAnsiTheme="majorBidi" w:cstheme="majorBidi"/>
          <w:sz w:val="20"/>
          <w:szCs w:val="20"/>
        </w:rPr>
        <w:footnoteRef/>
      </w:r>
      <w:r w:rsidRPr="002E7189">
        <w:rPr>
          <w:rFonts w:asciiTheme="majorBidi" w:hAnsiTheme="majorBidi" w:cstheme="majorBidi"/>
          <w:sz w:val="20"/>
          <w:szCs w:val="20"/>
        </w:rPr>
        <w:t xml:space="preserve"> Heritage at State. “Effective today,” </w:t>
      </w:r>
      <w:r w:rsidRPr="002E7189">
        <w:rPr>
          <w:rFonts w:asciiTheme="majorBidi" w:hAnsiTheme="majorBidi" w:cstheme="majorBidi"/>
          <w:i/>
          <w:iCs/>
          <w:sz w:val="20"/>
          <w:szCs w:val="20"/>
        </w:rPr>
        <w:t>Twitter</w:t>
      </w:r>
      <w:r w:rsidRPr="002E7189">
        <w:rPr>
          <w:rFonts w:asciiTheme="majorBidi" w:hAnsiTheme="majorBidi" w:cstheme="majorBidi"/>
          <w:sz w:val="20"/>
          <w:szCs w:val="20"/>
        </w:rPr>
        <w:t>, &lt;https://twitter.com/HeritageAtState/status/689605894485721088&gt; (Accessed: 19 January 2017)</w:t>
      </w:r>
    </w:p>
  </w:footnote>
  <w:footnote w:id="98">
    <w:p w14:paraId="105FF4AF" w14:textId="77777777" w:rsidR="004C5636" w:rsidRPr="002E7189" w:rsidRDefault="004C5636" w:rsidP="002E7189">
      <w:pPr>
        <w:rPr>
          <w:rFonts w:asciiTheme="majorBidi" w:hAnsiTheme="majorBidi" w:cstheme="majorBidi"/>
          <w:color w:val="000000" w:themeColor="text1"/>
          <w:sz w:val="20"/>
          <w:szCs w:val="20"/>
        </w:rPr>
      </w:pPr>
      <w:r w:rsidRPr="002E7189">
        <w:rPr>
          <w:rStyle w:val="FootnoteReference"/>
          <w:rFonts w:asciiTheme="majorBidi" w:hAnsiTheme="majorBidi" w:cstheme="majorBidi"/>
          <w:sz w:val="20"/>
          <w:szCs w:val="20"/>
        </w:rPr>
        <w:footnoteRef/>
      </w:r>
      <w:r w:rsidRPr="002E7189">
        <w:rPr>
          <w:rFonts w:asciiTheme="majorBidi" w:hAnsiTheme="majorBidi" w:cstheme="majorBidi"/>
          <w:sz w:val="20"/>
          <w:szCs w:val="20"/>
        </w:rPr>
        <w:t xml:space="preserve"> </w:t>
      </w:r>
      <w:r w:rsidRPr="002E7189">
        <w:rPr>
          <w:rFonts w:asciiTheme="majorBidi" w:hAnsiTheme="majorBidi" w:cstheme="majorBidi"/>
          <w:color w:val="000000" w:themeColor="text1"/>
          <w:sz w:val="20"/>
          <w:szCs w:val="20"/>
        </w:rPr>
        <w:t xml:space="preserve">Arma dei Carabinieri. "#Carabinieri del #TPC Recovered," </w:t>
      </w:r>
      <w:r w:rsidRPr="002E7189">
        <w:rPr>
          <w:rFonts w:asciiTheme="majorBidi" w:hAnsiTheme="majorBidi" w:cstheme="majorBidi"/>
          <w:i/>
          <w:iCs/>
          <w:color w:val="000000" w:themeColor="text1"/>
          <w:sz w:val="20"/>
          <w:szCs w:val="20"/>
        </w:rPr>
        <w:t>Twitter</w:t>
      </w:r>
      <w:r w:rsidRPr="002E7189">
        <w:rPr>
          <w:rFonts w:asciiTheme="majorBidi" w:hAnsiTheme="majorBidi" w:cstheme="majorBidi"/>
          <w:color w:val="000000" w:themeColor="text1"/>
          <w:sz w:val="20"/>
          <w:szCs w:val="20"/>
        </w:rPr>
        <w:t xml:space="preserve">, 5 December 2016, </w:t>
      </w:r>
    </w:p>
    <w:p w14:paraId="583E69F1" w14:textId="633C31E3" w:rsidR="004C5636" w:rsidRPr="002E7189" w:rsidRDefault="004C5636" w:rsidP="002E7189">
      <w:pPr>
        <w:rPr>
          <w:rFonts w:asciiTheme="majorBidi" w:hAnsiTheme="majorBidi" w:cstheme="majorBidi"/>
          <w:sz w:val="20"/>
          <w:szCs w:val="20"/>
        </w:rPr>
      </w:pPr>
      <w:r w:rsidRPr="002E7189">
        <w:rPr>
          <w:rFonts w:asciiTheme="majorBidi" w:hAnsiTheme="majorBidi" w:cstheme="majorBidi"/>
          <w:color w:val="000000" w:themeColor="text1"/>
          <w:sz w:val="20"/>
          <w:szCs w:val="20"/>
        </w:rPr>
        <w:t>&lt;</w:t>
      </w:r>
      <w:r w:rsidRPr="002E7189">
        <w:rPr>
          <w:rFonts w:asciiTheme="majorBidi" w:hAnsiTheme="majorBidi" w:cstheme="majorBidi"/>
          <w:sz w:val="20"/>
          <w:szCs w:val="20"/>
        </w:rPr>
        <w:t>https://twitter.com/_Carabinieri_/status/805801671184044032</w:t>
      </w:r>
      <w:r w:rsidRPr="002E7189">
        <w:rPr>
          <w:rFonts w:asciiTheme="majorBidi" w:hAnsiTheme="majorBidi" w:cstheme="majorBidi"/>
          <w:color w:val="000000" w:themeColor="text1"/>
          <w:sz w:val="20"/>
          <w:szCs w:val="20"/>
        </w:rPr>
        <w:t>&gt; (6 December 2016).</w:t>
      </w:r>
      <w:r>
        <w:rPr>
          <w:rFonts w:asciiTheme="majorBidi" w:hAnsiTheme="majorBidi" w:cstheme="majorBidi"/>
          <w:color w:val="000000" w:themeColor="text1"/>
          <w:sz w:val="20"/>
          <w:szCs w:val="20"/>
        </w:rPr>
        <w:t xml:space="preserve"> Translated by Bing.</w:t>
      </w:r>
    </w:p>
  </w:footnote>
  <w:footnote w:id="99">
    <w:p w14:paraId="38754857" w14:textId="77777777" w:rsidR="004C5636" w:rsidRPr="00730810" w:rsidRDefault="004C5636" w:rsidP="002E7189">
      <w:pPr>
        <w:pStyle w:val="FootnoteText"/>
        <w:rPr>
          <w:rFonts w:asciiTheme="majorBidi" w:hAnsiTheme="majorBidi" w:cstheme="majorBidi"/>
          <w:sz w:val="20"/>
          <w:szCs w:val="20"/>
        </w:rPr>
      </w:pPr>
      <w:r>
        <w:rPr>
          <w:rStyle w:val="FootnoteReference"/>
        </w:rPr>
        <w:footnoteRef/>
      </w:r>
      <w:r>
        <w:t xml:space="preserve"> </w:t>
      </w:r>
      <w:r w:rsidRPr="00730810">
        <w:rPr>
          <w:rFonts w:asciiTheme="majorBidi" w:hAnsiTheme="majorBidi" w:cstheme="majorBidi"/>
          <w:color w:val="000000" w:themeColor="text1"/>
          <w:sz w:val="20"/>
          <w:szCs w:val="20"/>
        </w:rPr>
        <w:t xml:space="preserve">Federal Bureau of Investigation. "Love #art?" </w:t>
      </w:r>
      <w:r w:rsidRPr="00730810">
        <w:rPr>
          <w:rFonts w:asciiTheme="majorBidi" w:hAnsiTheme="majorBidi" w:cstheme="majorBidi"/>
          <w:i/>
          <w:iCs/>
          <w:color w:val="000000" w:themeColor="text1"/>
          <w:sz w:val="20"/>
          <w:szCs w:val="20"/>
        </w:rPr>
        <w:t>Twitter,</w:t>
      </w:r>
      <w:r w:rsidRPr="00730810">
        <w:rPr>
          <w:rFonts w:asciiTheme="majorBidi" w:hAnsiTheme="majorBidi" w:cstheme="majorBidi"/>
          <w:color w:val="000000" w:themeColor="text1"/>
          <w:sz w:val="20"/>
          <w:szCs w:val="20"/>
        </w:rPr>
        <w:t xml:space="preserve"> 7 November 2016, </w:t>
      </w:r>
    </w:p>
    <w:p w14:paraId="28A0398D" w14:textId="14A1AC71" w:rsidR="004C5636" w:rsidRDefault="004C5636" w:rsidP="002E7189">
      <w:pPr>
        <w:pStyle w:val="FootnoteText"/>
      </w:pPr>
      <w:r w:rsidRPr="00730810">
        <w:rPr>
          <w:rFonts w:asciiTheme="majorBidi" w:hAnsiTheme="majorBidi" w:cstheme="majorBidi"/>
          <w:color w:val="000000" w:themeColor="text1"/>
          <w:sz w:val="20"/>
          <w:szCs w:val="20"/>
        </w:rPr>
        <w:t>&lt;</w:t>
      </w:r>
      <w:r w:rsidRPr="002E7189">
        <w:rPr>
          <w:rFonts w:asciiTheme="majorBidi" w:hAnsiTheme="majorBidi" w:cstheme="majorBidi"/>
          <w:sz w:val="20"/>
          <w:szCs w:val="20"/>
        </w:rPr>
        <w:t>https://twitter.com/FBI/status/795636546653147138</w:t>
      </w:r>
      <w:r w:rsidRPr="00730810">
        <w:rPr>
          <w:rFonts w:asciiTheme="majorBidi" w:hAnsiTheme="majorBidi" w:cstheme="majorBidi"/>
          <w:color w:val="000000" w:themeColor="text1"/>
          <w:sz w:val="20"/>
          <w:szCs w:val="20"/>
        </w:rPr>
        <w:t>&gt; (6 December 2016)</w:t>
      </w:r>
      <w:r>
        <w:rPr>
          <w:rFonts w:asciiTheme="majorBidi" w:hAnsiTheme="majorBidi" w:cstheme="majorBidi"/>
          <w:color w:val="000000" w:themeColor="text1"/>
          <w:sz w:val="20"/>
          <w:szCs w:val="20"/>
        </w:rPr>
        <w:t>.</w:t>
      </w:r>
    </w:p>
  </w:footnote>
  <w:footnote w:id="100">
    <w:p w14:paraId="7FC55218" w14:textId="3DC2DF34" w:rsidR="004C5636" w:rsidRPr="00730810" w:rsidRDefault="004C5636" w:rsidP="002E7189">
      <w:pPr>
        <w:widowControl w:val="0"/>
        <w:autoSpaceDE w:val="0"/>
        <w:autoSpaceDN w:val="0"/>
        <w:adjustRightInd w:val="0"/>
        <w:rPr>
          <w:rFonts w:asciiTheme="majorBidi" w:hAnsiTheme="majorBidi" w:cstheme="majorBidi"/>
          <w:color w:val="000000" w:themeColor="text1"/>
          <w:sz w:val="20"/>
          <w:szCs w:val="20"/>
        </w:rPr>
      </w:pPr>
      <w:r>
        <w:rPr>
          <w:rStyle w:val="FootnoteReference"/>
        </w:rPr>
        <w:footnoteRef/>
      </w:r>
      <w:r>
        <w:t xml:space="preserve"> </w:t>
      </w:r>
      <w:r w:rsidRPr="00730810">
        <w:rPr>
          <w:rFonts w:asciiTheme="majorBidi" w:hAnsiTheme="majorBidi" w:cstheme="majorBidi"/>
          <w:color w:val="000000" w:themeColor="text1"/>
          <w:sz w:val="20"/>
          <w:szCs w:val="20"/>
        </w:rPr>
        <w:t>Heritage at Stat</w:t>
      </w:r>
      <w:r>
        <w:rPr>
          <w:rFonts w:asciiTheme="majorBidi" w:hAnsiTheme="majorBidi" w:cstheme="majorBidi"/>
          <w:color w:val="000000" w:themeColor="text1"/>
          <w:sz w:val="20"/>
          <w:szCs w:val="20"/>
        </w:rPr>
        <w:t xml:space="preserve">e. </w:t>
      </w:r>
      <w:r w:rsidRPr="00730810">
        <w:rPr>
          <w:rFonts w:asciiTheme="majorBidi" w:hAnsiTheme="majorBidi" w:cstheme="majorBidi"/>
          <w:color w:val="000000" w:themeColor="text1"/>
          <w:sz w:val="20"/>
          <w:szCs w:val="20"/>
        </w:rPr>
        <w:t xml:space="preserve">"Since its inception @FBD Art Crime Team," </w:t>
      </w:r>
      <w:r w:rsidRPr="00730810">
        <w:rPr>
          <w:rFonts w:asciiTheme="majorBidi" w:hAnsiTheme="majorBidi" w:cstheme="majorBidi"/>
          <w:i/>
          <w:iCs/>
          <w:color w:val="000000" w:themeColor="text1"/>
          <w:sz w:val="20"/>
          <w:szCs w:val="20"/>
        </w:rPr>
        <w:t xml:space="preserve">Twitter, </w:t>
      </w:r>
      <w:r w:rsidRPr="00730810">
        <w:rPr>
          <w:rFonts w:asciiTheme="majorBidi" w:hAnsiTheme="majorBidi" w:cstheme="majorBidi"/>
          <w:color w:val="000000" w:themeColor="text1"/>
          <w:sz w:val="20"/>
          <w:szCs w:val="20"/>
        </w:rPr>
        <w:t xml:space="preserve">14 October 2016, </w:t>
      </w:r>
    </w:p>
    <w:p w14:paraId="72563E71" w14:textId="14F3E169" w:rsidR="004C5636" w:rsidRPr="002E7189" w:rsidRDefault="004C5636" w:rsidP="002E7189">
      <w:pPr>
        <w:rPr>
          <w:rFonts w:asciiTheme="majorBidi" w:hAnsiTheme="majorBidi" w:cstheme="majorBidi"/>
          <w:b/>
          <w:bCs/>
        </w:rPr>
      </w:pPr>
      <w:r w:rsidRPr="00730810">
        <w:rPr>
          <w:rFonts w:asciiTheme="majorBidi" w:hAnsiTheme="majorBidi" w:cstheme="majorBidi"/>
          <w:color w:val="000000" w:themeColor="text1"/>
          <w:sz w:val="20"/>
          <w:szCs w:val="20"/>
        </w:rPr>
        <w:t>&lt;</w:t>
      </w:r>
      <w:r w:rsidRPr="00730810">
        <w:rPr>
          <w:rFonts w:asciiTheme="majorBidi" w:hAnsiTheme="majorBidi" w:cstheme="majorBidi"/>
          <w:sz w:val="20"/>
          <w:szCs w:val="20"/>
        </w:rPr>
        <w:t xml:space="preserve">https://twitter.com/HeritageAtState/status/787027970410024960 </w:t>
      </w:r>
      <w:r w:rsidRPr="00730810">
        <w:rPr>
          <w:rFonts w:asciiTheme="majorBidi" w:hAnsiTheme="majorBidi" w:cstheme="majorBidi"/>
          <w:color w:val="000000" w:themeColor="text1"/>
          <w:sz w:val="20"/>
          <w:szCs w:val="20"/>
        </w:rPr>
        <w:t>&gt; (6 December 2016).</w:t>
      </w:r>
    </w:p>
  </w:footnote>
  <w:footnote w:id="101">
    <w:p w14:paraId="0E7260F2" w14:textId="017FDE40" w:rsidR="004C5636" w:rsidRPr="003F0E0F" w:rsidRDefault="004C5636">
      <w:pPr>
        <w:pStyle w:val="FootnoteText"/>
        <w:rPr>
          <w:rFonts w:asciiTheme="majorBidi" w:hAnsiTheme="majorBidi" w:cstheme="majorBidi"/>
          <w:sz w:val="20"/>
          <w:szCs w:val="20"/>
        </w:rPr>
      </w:pPr>
      <w:r w:rsidRPr="003F0E0F">
        <w:rPr>
          <w:rStyle w:val="FootnoteReference"/>
          <w:rFonts w:asciiTheme="majorBidi" w:hAnsiTheme="majorBidi" w:cstheme="majorBidi"/>
          <w:sz w:val="20"/>
          <w:szCs w:val="20"/>
        </w:rPr>
        <w:footnoteRef/>
      </w:r>
      <w:r w:rsidRPr="003F0E0F">
        <w:rPr>
          <w:rFonts w:asciiTheme="majorBidi" w:hAnsiTheme="majorBidi" w:cstheme="majorBidi"/>
          <w:sz w:val="20"/>
          <w:szCs w:val="20"/>
        </w:rPr>
        <w:t xml:space="preserve"> Heritage at State. “In case,” </w:t>
      </w:r>
      <w:r w:rsidRPr="003F0E0F">
        <w:rPr>
          <w:rFonts w:asciiTheme="majorBidi" w:hAnsiTheme="majorBidi" w:cstheme="majorBidi"/>
          <w:i/>
          <w:iCs/>
          <w:sz w:val="20"/>
          <w:szCs w:val="20"/>
        </w:rPr>
        <w:t>Twitter</w:t>
      </w:r>
      <w:r w:rsidRPr="003F0E0F">
        <w:rPr>
          <w:rFonts w:asciiTheme="majorBidi" w:hAnsiTheme="majorBidi" w:cstheme="majorBidi"/>
          <w:sz w:val="20"/>
          <w:szCs w:val="20"/>
        </w:rPr>
        <w:t>, https://twitter.com/HeritageAtState/status/817011645625016325 (Accessed: 6 December 2016).</w:t>
      </w:r>
    </w:p>
  </w:footnote>
  <w:footnote w:id="102">
    <w:p w14:paraId="614527F9" w14:textId="3585988F" w:rsidR="004C5636" w:rsidRPr="002D296A" w:rsidRDefault="004C5636" w:rsidP="002D296A">
      <w:pPr>
        <w:rPr>
          <w:rFonts w:asciiTheme="majorBidi" w:hAnsiTheme="majorBidi" w:cstheme="majorBidi"/>
          <w:sz w:val="20"/>
          <w:szCs w:val="20"/>
        </w:rPr>
      </w:pPr>
      <w:r>
        <w:rPr>
          <w:rStyle w:val="FootnoteReference"/>
        </w:rPr>
        <w:footnoteRef/>
      </w:r>
      <w:r>
        <w:t xml:space="preserve"> </w:t>
      </w:r>
      <w:r w:rsidRPr="00730810">
        <w:rPr>
          <w:rFonts w:asciiTheme="majorBidi" w:hAnsiTheme="majorBidi" w:cstheme="majorBidi"/>
          <w:sz w:val="20"/>
          <w:szCs w:val="20"/>
        </w:rPr>
        <w:t>Onultalia. “</w:t>
      </w:r>
      <w:r w:rsidRPr="00730810">
        <w:rPr>
          <w:rFonts w:asciiTheme="majorBidi" w:eastAsia="Times New Roman" w:hAnsiTheme="majorBidi" w:cstheme="majorBidi"/>
          <w:sz w:val="20"/>
          <w:szCs w:val="20"/>
        </w:rPr>
        <w:t xml:space="preserve">Ancient statue </w:t>
      </w:r>
      <w:r w:rsidRPr="00730810">
        <w:rPr>
          <w:rStyle w:val="Strong"/>
          <w:rFonts w:asciiTheme="majorBidi" w:eastAsia="Times New Roman" w:hAnsiTheme="majorBidi" w:cstheme="majorBidi"/>
          <w:b w:val="0"/>
          <w:bCs w:val="0"/>
          <w:sz w:val="20"/>
          <w:szCs w:val="20"/>
        </w:rPr>
        <w:t>stolen</w:t>
      </w:r>
      <w:r w:rsidRPr="00730810">
        <w:rPr>
          <w:rFonts w:asciiTheme="majorBidi" w:eastAsia="Times New Roman" w:hAnsiTheme="majorBidi" w:cstheme="majorBidi"/>
          <w:sz w:val="20"/>
          <w:szCs w:val="20"/>
        </w:rPr>
        <w:t xml:space="preserve"> from #Rome,” </w:t>
      </w:r>
      <w:r w:rsidRPr="00730810">
        <w:rPr>
          <w:rFonts w:asciiTheme="majorBidi" w:eastAsia="Times New Roman" w:hAnsiTheme="majorBidi" w:cstheme="majorBidi"/>
          <w:i/>
          <w:iCs/>
          <w:sz w:val="20"/>
          <w:szCs w:val="20"/>
        </w:rPr>
        <w:t>Twitter</w:t>
      </w:r>
      <w:r w:rsidRPr="00730810">
        <w:rPr>
          <w:rFonts w:asciiTheme="majorBidi" w:eastAsia="Times New Roman" w:hAnsiTheme="majorBidi" w:cstheme="majorBidi"/>
          <w:sz w:val="20"/>
          <w:szCs w:val="20"/>
        </w:rPr>
        <w:t>, 8 December 2016, &lt;</w:t>
      </w:r>
      <w:r w:rsidRPr="00730810">
        <w:rPr>
          <w:rFonts w:asciiTheme="majorBidi" w:hAnsiTheme="majorBidi" w:cstheme="majorBidi"/>
          <w:sz w:val="20"/>
          <w:szCs w:val="20"/>
        </w:rPr>
        <w:t xml:space="preserve"> </w:t>
      </w:r>
      <w:r w:rsidRPr="00730810">
        <w:rPr>
          <w:rFonts w:asciiTheme="majorBidi" w:eastAsia="Times New Roman" w:hAnsiTheme="majorBidi" w:cstheme="majorBidi"/>
          <w:sz w:val="20"/>
          <w:szCs w:val="20"/>
        </w:rPr>
        <w:t>https://twitter.com/Onuitalia/status/806853593806553088&gt; (Accessed: 25 February 2017).</w:t>
      </w:r>
    </w:p>
  </w:footnote>
  <w:footnote w:id="103">
    <w:p w14:paraId="40087410" w14:textId="7F6047F9" w:rsidR="004C5636" w:rsidRPr="0068425D" w:rsidRDefault="004C5636">
      <w:pPr>
        <w:pStyle w:val="FootnoteText"/>
        <w:rPr>
          <w:rFonts w:asciiTheme="majorBidi" w:hAnsiTheme="majorBidi" w:cstheme="majorBidi"/>
          <w:sz w:val="20"/>
          <w:szCs w:val="20"/>
        </w:rPr>
      </w:pPr>
      <w:r w:rsidRPr="0068425D">
        <w:rPr>
          <w:rStyle w:val="FootnoteReference"/>
          <w:rFonts w:asciiTheme="majorBidi" w:hAnsiTheme="majorBidi" w:cstheme="majorBidi"/>
          <w:sz w:val="20"/>
          <w:szCs w:val="20"/>
        </w:rPr>
        <w:footnoteRef/>
      </w:r>
      <w:r w:rsidRPr="0068425D">
        <w:rPr>
          <w:rFonts w:asciiTheme="majorBidi" w:hAnsiTheme="majorBidi" w:cstheme="majorBidi"/>
          <w:sz w:val="20"/>
          <w:szCs w:val="20"/>
        </w:rPr>
        <w:t xml:space="preserve"> The British Museum. “This huge statue,” </w:t>
      </w:r>
      <w:r w:rsidRPr="0068425D">
        <w:rPr>
          <w:rFonts w:asciiTheme="majorBidi" w:hAnsiTheme="majorBidi" w:cstheme="majorBidi"/>
          <w:i/>
          <w:iCs/>
          <w:sz w:val="20"/>
          <w:szCs w:val="20"/>
        </w:rPr>
        <w:t>Twitter</w:t>
      </w:r>
      <w:r w:rsidRPr="0068425D">
        <w:rPr>
          <w:rFonts w:asciiTheme="majorBidi" w:hAnsiTheme="majorBidi" w:cstheme="majorBidi"/>
          <w:sz w:val="20"/>
          <w:szCs w:val="20"/>
        </w:rPr>
        <w:t>, 3 March 2017, &lt; https://twitter.com/britishmuseum/status/837622696145989633&gt; (Accessed: 3 March 2017).</w:t>
      </w:r>
    </w:p>
  </w:footnote>
  <w:footnote w:id="104">
    <w:p w14:paraId="0C8082A6" w14:textId="24FC8AB5" w:rsidR="004C5636" w:rsidRPr="00730810" w:rsidRDefault="004C5636" w:rsidP="00FB303F">
      <w:pPr>
        <w:rPr>
          <w:rFonts w:asciiTheme="majorBidi" w:hAnsiTheme="majorBidi" w:cstheme="majorBidi"/>
          <w:color w:val="000000"/>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Civico Museo Archeologico. “Heracles at rest,” &lt;</w:t>
      </w:r>
      <w:r w:rsidRPr="00730810">
        <w:rPr>
          <w:rFonts w:asciiTheme="majorBidi" w:hAnsiTheme="majorBidi" w:cstheme="majorBidi"/>
          <w:color w:val="000000"/>
          <w:sz w:val="20"/>
          <w:szCs w:val="20"/>
        </w:rPr>
        <w:t>http://www.museoarcheologicomilano.it/wps/portal/poc?urile=wcm%3Apath%3ATUR_IT_ContentLibrary/minisito_museo_archeologico/lecollezioni/Milanoromana/Eracle_in_riposo&gt; (Accessed: 14 January 2017).</w:t>
      </w:r>
    </w:p>
  </w:footnote>
  <w:footnote w:id="105">
    <w:p w14:paraId="1A288174" w14:textId="77777777" w:rsidR="004C5636" w:rsidRPr="00730810" w:rsidRDefault="004C5636" w:rsidP="00FB303F">
      <w:pPr>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Museo Nazionale Romano. “Sarcophagus of Portanaccio,” &lt;http://www.ar</w:t>
      </w:r>
    </w:p>
    <w:p w14:paraId="72EFDA38" w14:textId="1EFB0846" w:rsidR="004C5636" w:rsidRPr="00730810" w:rsidRDefault="004C5636" w:rsidP="00FB303F">
      <w:pPr>
        <w:pStyle w:val="FootnoteText"/>
        <w:rPr>
          <w:rFonts w:asciiTheme="majorBidi" w:hAnsiTheme="majorBidi" w:cstheme="majorBidi"/>
          <w:sz w:val="20"/>
          <w:szCs w:val="20"/>
        </w:rPr>
      </w:pPr>
      <w:r w:rsidRPr="00730810">
        <w:rPr>
          <w:rFonts w:asciiTheme="majorBidi" w:hAnsiTheme="majorBidi" w:cstheme="majorBidi"/>
          <w:sz w:val="20"/>
          <w:szCs w:val="20"/>
        </w:rPr>
        <w:t>cheorm.arti.beniculturali.it/en/national-roman-museum-palazzo-massimo-alle-terme/sculptures/sarcophagus-portonaccio&gt; (Accessed: 14 January 2017).</w:t>
      </w:r>
    </w:p>
  </w:footnote>
  <w:footnote w:id="106">
    <w:p w14:paraId="0890B6ED" w14:textId="516B1412"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Seattle Art Museum. “</w:t>
      </w:r>
      <w:r w:rsidRPr="00730810">
        <w:rPr>
          <w:rFonts w:asciiTheme="majorBidi" w:hAnsiTheme="majorBidi" w:cstheme="majorBidi"/>
          <w:color w:val="333333"/>
          <w:sz w:val="20"/>
          <w:szCs w:val="20"/>
        </w:rPr>
        <w:t>Posthumous Portrait Head Of The Emperor Claudius,” &lt;</w:t>
      </w:r>
      <w:r w:rsidRPr="00730810">
        <w:rPr>
          <w:rFonts w:asciiTheme="majorBidi" w:hAnsiTheme="majorBidi" w:cstheme="majorBidi"/>
          <w:sz w:val="20"/>
          <w:szCs w:val="20"/>
        </w:rPr>
        <w:t xml:space="preserve"> http://www1.seattleartmuseum.org/eMuseum/code/emuseum.asp?collection=27210&amp;collectionname=WEB:Ancient%20Mediterranean&amp;style=browse&amp;currentrecord=1&amp;page=collection&amp;profile=objects&amp;searchdesc=WEB:Ancient%20Mediterranean&amp;newvalues=1&amp;newstyle=single&amp;newcurrentrecord=1&gt; (Accessed: 14 January 2017).</w:t>
      </w:r>
    </w:p>
  </w:footnote>
  <w:footnote w:id="107">
    <w:p w14:paraId="1AE619D6" w14:textId="4AFBEC95" w:rsidR="004C5636" w:rsidRPr="00730810" w:rsidRDefault="004C5636" w:rsidP="001A1DAF">
      <w:pPr>
        <w:pStyle w:val="NormalWeb"/>
        <w:spacing w:before="0" w:beforeAutospacing="0" w:after="0" w:afterAutospacing="0"/>
        <w:rPr>
          <w:rFonts w:asciiTheme="majorBidi" w:hAnsiTheme="majorBidi" w:cstheme="majorBidi"/>
          <w:color w:val="000000"/>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Toledo Museum. “</w:t>
      </w:r>
      <w:r w:rsidRPr="00730810">
        <w:rPr>
          <w:rFonts w:asciiTheme="majorBidi" w:hAnsiTheme="majorBidi" w:cstheme="majorBidi"/>
          <w:color w:val="000000"/>
          <w:sz w:val="20"/>
          <w:szCs w:val="20"/>
        </w:rPr>
        <w:t>Double Head-shaped Flask: Two Similar Chubby Childlike Faces,” &lt; http://emuseum.toledomuseum.org:8080/emuseum/objects/52535/double-headshaped-flask-two-similar-chubby-childlike-faces?ctx=e3ccf326-f38f-4548-a5b4-4ee224ee58e1&amp;idx=75&gt; (Accessed: 14 January 2017).</w:t>
      </w:r>
    </w:p>
  </w:footnote>
  <w:footnote w:id="108">
    <w:p w14:paraId="6746F022" w14:textId="65E1F102" w:rsidR="004C5636" w:rsidRPr="00730810" w:rsidRDefault="004C5636" w:rsidP="00FB303F">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Museo Nazionale Romano. “Dying Niobid,” &lt;http://www.archeorm.arti.beniculturali.it/en/</w:t>
      </w:r>
    </w:p>
    <w:p w14:paraId="05384DC0" w14:textId="02810994" w:rsidR="004C5636" w:rsidRPr="00730810" w:rsidRDefault="004C5636" w:rsidP="00FB303F">
      <w:pPr>
        <w:pStyle w:val="FootnoteText"/>
        <w:rPr>
          <w:rFonts w:asciiTheme="majorBidi" w:hAnsiTheme="majorBidi" w:cstheme="majorBidi"/>
          <w:sz w:val="20"/>
          <w:szCs w:val="20"/>
        </w:rPr>
      </w:pPr>
      <w:r w:rsidRPr="00730810">
        <w:rPr>
          <w:rFonts w:asciiTheme="majorBidi" w:hAnsiTheme="majorBidi" w:cstheme="majorBidi"/>
          <w:sz w:val="20"/>
          <w:szCs w:val="20"/>
        </w:rPr>
        <w:t>national-roman-museum-palazzo-massimo-alle-terme/sculptures/dying-niobid&gt; (Accessed: 14 January 2017).</w:t>
      </w:r>
    </w:p>
  </w:footnote>
  <w:footnote w:id="109">
    <w:p w14:paraId="4B3F3341" w14:textId="36AC15E4" w:rsidR="004C5636" w:rsidRPr="00730810" w:rsidRDefault="004C5636" w:rsidP="000E0E49">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Civico Museo Archeologico. “Portrait of Agrippina the Younger,” &lt;</w:t>
      </w:r>
      <w:r w:rsidRPr="00730810">
        <w:rPr>
          <w:rFonts w:asciiTheme="majorBidi" w:hAnsiTheme="majorBidi" w:cstheme="majorBidi"/>
          <w:color w:val="000000"/>
          <w:sz w:val="20"/>
          <w:szCs w:val="20"/>
        </w:rPr>
        <w:t>http://www.museoarcheologicomilano.it/wps/portal/poc?urile=wcm%3Apath%3ATUR_IT_ContentLibrary/minisito_museo_archeologico/lecollezioni/milanoromana/Rit ratto_di_Agrippina_Minore&gt; (Accessed: 14 January 2017).</w:t>
      </w:r>
    </w:p>
  </w:footnote>
  <w:footnote w:id="110">
    <w:p w14:paraId="58702052" w14:textId="344BF09B"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Museum of Fine Arts. “Face of an old man,” &lt;</w:t>
      </w:r>
      <w:r w:rsidRPr="00730810">
        <w:rPr>
          <w:rFonts w:asciiTheme="majorBidi" w:hAnsiTheme="majorBidi" w:cstheme="majorBidi"/>
          <w:color w:val="000000"/>
          <w:sz w:val="20"/>
          <w:szCs w:val="20"/>
        </w:rPr>
        <w:t xml:space="preserve"> http://www.mfa.org/collections/object/face-of-an-old-man-180744&gt; (Accessed: 14 January 2017).</w:t>
      </w:r>
    </w:p>
  </w:footnote>
  <w:footnote w:id="111">
    <w:p w14:paraId="51E690E4" w14:textId="12134186" w:rsidR="004C5636" w:rsidRPr="00730810" w:rsidRDefault="004C5636" w:rsidP="000E0E49">
      <w:pPr>
        <w:pStyle w:val="FootnoteText"/>
        <w:rPr>
          <w:rFonts w:asciiTheme="majorBidi" w:hAnsiTheme="majorBidi" w:cstheme="majorBidi"/>
          <w:color w:val="000000"/>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Toledo Museum. “Fragment of a Sarcophagus,” &lt;</w:t>
      </w:r>
      <w:r w:rsidRPr="00730810">
        <w:rPr>
          <w:rFonts w:asciiTheme="majorBidi" w:hAnsiTheme="majorBidi" w:cstheme="majorBidi"/>
          <w:color w:val="000000"/>
          <w:sz w:val="20"/>
          <w:szCs w:val="20"/>
        </w:rPr>
        <w:t xml:space="preserve"> http://emuseum.toledomuseum.org:8080/emuseum/objects/60360/fragment-of-</w:t>
      </w:r>
    </w:p>
    <w:p w14:paraId="6EA023A5" w14:textId="1551514C" w:rsidR="004C5636" w:rsidRPr="00730810" w:rsidRDefault="004C5636" w:rsidP="000E0E49">
      <w:pPr>
        <w:pStyle w:val="FootnoteText"/>
        <w:rPr>
          <w:rFonts w:asciiTheme="majorBidi" w:hAnsiTheme="majorBidi" w:cstheme="majorBidi"/>
          <w:sz w:val="20"/>
          <w:szCs w:val="20"/>
        </w:rPr>
      </w:pPr>
      <w:r w:rsidRPr="00730810">
        <w:rPr>
          <w:rFonts w:asciiTheme="majorBidi" w:hAnsiTheme="majorBidi" w:cstheme="majorBidi"/>
          <w:color w:val="000000"/>
          <w:sz w:val="20"/>
          <w:szCs w:val="20"/>
        </w:rPr>
        <w:t>a-sarcophagus-medea?ctx=850c44cc-5505-44f7-b2f0-934a8c71473c&amp;idx=130&gt; (Accessed: 14 January 2017).</w:t>
      </w:r>
    </w:p>
  </w:footnote>
  <w:footnote w:id="112">
    <w:p w14:paraId="7BF656D3" w14:textId="1A02AB6E" w:rsidR="004C5636" w:rsidRPr="00730810" w:rsidRDefault="004C5636" w:rsidP="004631B7">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Galleri Uffizi. “Busto,” </w:t>
      </w:r>
      <w:r w:rsidRPr="00730810">
        <w:rPr>
          <w:rFonts w:asciiTheme="majorBidi" w:hAnsiTheme="majorBidi" w:cstheme="majorBidi"/>
          <w:i/>
          <w:iCs/>
          <w:sz w:val="20"/>
          <w:szCs w:val="20"/>
        </w:rPr>
        <w:t>Twitter</w:t>
      </w:r>
      <w:r w:rsidRPr="00730810">
        <w:rPr>
          <w:rFonts w:asciiTheme="majorBidi" w:hAnsiTheme="majorBidi" w:cstheme="majorBidi"/>
          <w:sz w:val="20"/>
          <w:szCs w:val="20"/>
        </w:rPr>
        <w:t>, &lt; https://twitter.com/UffiziGalleries/status/847014783002066944&gt; (Accessed: 14 January 2017).</w:t>
      </w:r>
    </w:p>
  </w:footnote>
  <w:footnote w:id="113">
    <w:p w14:paraId="7123B9DF" w14:textId="77777777" w:rsidR="004C5636" w:rsidRPr="00730810" w:rsidRDefault="004C5636" w:rsidP="004631B7">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Gallerie Uffizi. “Nell’assoluto,” </w:t>
      </w:r>
      <w:r w:rsidRPr="00730810">
        <w:rPr>
          <w:rFonts w:asciiTheme="majorBidi" w:hAnsiTheme="majorBidi" w:cstheme="majorBidi"/>
          <w:i/>
          <w:iCs/>
          <w:sz w:val="20"/>
          <w:szCs w:val="20"/>
        </w:rPr>
        <w:t>Twitter</w:t>
      </w:r>
      <w:r w:rsidRPr="00730810">
        <w:rPr>
          <w:rFonts w:asciiTheme="majorBidi" w:hAnsiTheme="majorBidi" w:cstheme="majorBidi"/>
          <w:sz w:val="20"/>
          <w:szCs w:val="20"/>
        </w:rPr>
        <w:t>, &lt; https://twitter.com/Uffizi</w:t>
      </w:r>
    </w:p>
    <w:p w14:paraId="460B4DB3" w14:textId="029E8ADD" w:rsidR="004C5636" w:rsidRPr="00730810" w:rsidRDefault="004C5636" w:rsidP="004631B7">
      <w:pPr>
        <w:pStyle w:val="FootnoteText"/>
        <w:rPr>
          <w:rFonts w:asciiTheme="majorBidi" w:hAnsiTheme="majorBidi" w:cstheme="majorBidi"/>
          <w:sz w:val="20"/>
          <w:szCs w:val="20"/>
        </w:rPr>
      </w:pPr>
      <w:r w:rsidRPr="00730810">
        <w:rPr>
          <w:rFonts w:asciiTheme="majorBidi" w:hAnsiTheme="majorBidi" w:cstheme="majorBidi"/>
          <w:sz w:val="20"/>
          <w:szCs w:val="20"/>
        </w:rPr>
        <w:t>Galleries/status/846970740230508544&gt; (Accessed: 14 January 2017). Translated by Bing.</w:t>
      </w:r>
    </w:p>
  </w:footnote>
  <w:footnote w:id="114">
    <w:p w14:paraId="5F4725A8" w14:textId="36C80EFD" w:rsidR="004C5636" w:rsidRPr="00730810" w:rsidRDefault="004C5636" w:rsidP="00F243B8">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Metropolitan Museum of Art. “This earring,” </w:t>
      </w:r>
      <w:r w:rsidRPr="00730810">
        <w:rPr>
          <w:rFonts w:asciiTheme="majorBidi" w:hAnsiTheme="majorBidi" w:cstheme="majorBidi"/>
          <w:i/>
          <w:iCs/>
          <w:sz w:val="20"/>
          <w:szCs w:val="20"/>
        </w:rPr>
        <w:t>Twitter</w:t>
      </w:r>
      <w:r w:rsidRPr="00730810">
        <w:rPr>
          <w:rFonts w:asciiTheme="majorBidi" w:hAnsiTheme="majorBidi" w:cstheme="majorBidi"/>
          <w:sz w:val="20"/>
          <w:szCs w:val="20"/>
        </w:rPr>
        <w:t>, &lt;https://twitter.com/metmuseum/status/813611666357227522&gt; (Accessed: 14 January 2017).</w:t>
      </w:r>
    </w:p>
  </w:footnote>
  <w:footnote w:id="115">
    <w:p w14:paraId="787520BC" w14:textId="171814E2" w:rsidR="004C5636" w:rsidRPr="00730810" w:rsidRDefault="004C5636">
      <w:pPr>
        <w:pStyle w:val="FootnoteText"/>
        <w:rPr>
          <w:rFonts w:asciiTheme="majorBidi" w:hAnsiTheme="majorBidi" w:cstheme="majorBidi"/>
          <w:sz w:val="20"/>
          <w:szCs w:val="20"/>
        </w:rPr>
      </w:pPr>
      <w:r w:rsidRPr="00730810">
        <w:rPr>
          <w:rStyle w:val="FootnoteReference"/>
          <w:rFonts w:asciiTheme="majorBidi" w:hAnsiTheme="majorBidi" w:cstheme="majorBidi"/>
          <w:sz w:val="20"/>
          <w:szCs w:val="20"/>
        </w:rPr>
        <w:footnoteRef/>
      </w:r>
      <w:r w:rsidRPr="00730810">
        <w:rPr>
          <w:rFonts w:asciiTheme="majorBidi" w:hAnsiTheme="majorBidi" w:cstheme="majorBidi"/>
          <w:sz w:val="20"/>
          <w:szCs w:val="20"/>
        </w:rPr>
        <w:t xml:space="preserve"> The Metropolitan Museum of Art. “This gold,” </w:t>
      </w:r>
      <w:r w:rsidRPr="00730810">
        <w:rPr>
          <w:rFonts w:asciiTheme="majorBidi" w:hAnsiTheme="majorBidi" w:cstheme="majorBidi"/>
          <w:i/>
          <w:iCs/>
          <w:sz w:val="20"/>
          <w:szCs w:val="20"/>
        </w:rPr>
        <w:t>Twitter</w:t>
      </w:r>
      <w:r w:rsidRPr="00730810">
        <w:rPr>
          <w:rFonts w:asciiTheme="majorBidi" w:hAnsiTheme="majorBidi" w:cstheme="majorBidi"/>
          <w:sz w:val="20"/>
          <w:szCs w:val="20"/>
        </w:rPr>
        <w:t>, &lt;https://twitter.com/metmuseum/status/701996202942971904&gt; (Accessed: 14 January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E594" w14:textId="77777777" w:rsidR="004C5636" w:rsidRDefault="004C5636" w:rsidP="006D5C9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9BEF0A" w14:textId="77777777" w:rsidR="004C5636" w:rsidRDefault="004C5636" w:rsidP="000B227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E4D0E" w14:textId="77777777" w:rsidR="004C5636" w:rsidRPr="000B227F" w:rsidRDefault="004C5636" w:rsidP="006D5C94">
    <w:pPr>
      <w:pStyle w:val="Header"/>
      <w:framePr w:wrap="none" w:vAnchor="text" w:hAnchor="margin" w:xAlign="right" w:y="1"/>
      <w:rPr>
        <w:rStyle w:val="PageNumber"/>
        <w:rFonts w:asciiTheme="majorBidi" w:hAnsiTheme="majorBidi" w:cstheme="majorBidi"/>
      </w:rPr>
    </w:pPr>
    <w:r w:rsidRPr="000B227F">
      <w:rPr>
        <w:rStyle w:val="PageNumber"/>
        <w:rFonts w:asciiTheme="majorBidi" w:hAnsiTheme="majorBidi" w:cstheme="majorBidi"/>
      </w:rPr>
      <w:fldChar w:fldCharType="begin"/>
    </w:r>
    <w:r w:rsidRPr="000B227F">
      <w:rPr>
        <w:rStyle w:val="PageNumber"/>
        <w:rFonts w:asciiTheme="majorBidi" w:hAnsiTheme="majorBidi" w:cstheme="majorBidi"/>
      </w:rPr>
      <w:instrText xml:space="preserve">PAGE  </w:instrText>
    </w:r>
    <w:r w:rsidRPr="000B227F">
      <w:rPr>
        <w:rStyle w:val="PageNumber"/>
        <w:rFonts w:asciiTheme="majorBidi" w:hAnsiTheme="majorBidi" w:cstheme="majorBidi"/>
      </w:rPr>
      <w:fldChar w:fldCharType="separate"/>
    </w:r>
    <w:r w:rsidR="00F7539C">
      <w:rPr>
        <w:rStyle w:val="PageNumber"/>
        <w:rFonts w:asciiTheme="majorBidi" w:hAnsiTheme="majorBidi" w:cstheme="majorBidi"/>
        <w:noProof/>
      </w:rPr>
      <w:t>21</w:t>
    </w:r>
    <w:r w:rsidRPr="000B227F">
      <w:rPr>
        <w:rStyle w:val="PageNumber"/>
        <w:rFonts w:asciiTheme="majorBidi" w:hAnsiTheme="majorBidi" w:cstheme="majorBidi"/>
      </w:rPr>
      <w:fldChar w:fldCharType="end"/>
    </w:r>
  </w:p>
  <w:p w14:paraId="0961C72B" w14:textId="2E4F20AD" w:rsidR="004C5636" w:rsidRPr="000B227F" w:rsidRDefault="004C5636" w:rsidP="000B227F">
    <w:pPr>
      <w:pStyle w:val="Header"/>
      <w:ind w:right="360"/>
      <w:jc w:val="right"/>
      <w:rPr>
        <w:rFonts w:asciiTheme="majorBidi" w:hAnsiTheme="majorBidi" w:cstheme="majorBidi"/>
      </w:rPr>
    </w:pPr>
    <w:r w:rsidRPr="000B227F">
      <w:rPr>
        <w:rFonts w:asciiTheme="majorBidi" w:hAnsiTheme="majorBidi" w:cstheme="majorBidi"/>
      </w:rPr>
      <w:t>Fujii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75078"/>
    <w:multiLevelType w:val="hybridMultilevel"/>
    <w:tmpl w:val="A462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DE67A3"/>
    <w:multiLevelType w:val="hybridMultilevel"/>
    <w:tmpl w:val="9D2E6810"/>
    <w:lvl w:ilvl="0" w:tplc="189432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D86"/>
    <w:rsid w:val="00007554"/>
    <w:rsid w:val="00023F35"/>
    <w:rsid w:val="00032C3C"/>
    <w:rsid w:val="00033496"/>
    <w:rsid w:val="0004170C"/>
    <w:rsid w:val="000434B2"/>
    <w:rsid w:val="00045353"/>
    <w:rsid w:val="00046548"/>
    <w:rsid w:val="00047FD5"/>
    <w:rsid w:val="000549A2"/>
    <w:rsid w:val="000552DB"/>
    <w:rsid w:val="00057E58"/>
    <w:rsid w:val="00061465"/>
    <w:rsid w:val="000655AC"/>
    <w:rsid w:val="000711DE"/>
    <w:rsid w:val="000757E9"/>
    <w:rsid w:val="0007750D"/>
    <w:rsid w:val="00080173"/>
    <w:rsid w:val="0008105A"/>
    <w:rsid w:val="00094B54"/>
    <w:rsid w:val="00097549"/>
    <w:rsid w:val="000A35EF"/>
    <w:rsid w:val="000A5BB0"/>
    <w:rsid w:val="000B227F"/>
    <w:rsid w:val="000B4F8A"/>
    <w:rsid w:val="000B701E"/>
    <w:rsid w:val="000C00E0"/>
    <w:rsid w:val="000D1CA8"/>
    <w:rsid w:val="000D7E92"/>
    <w:rsid w:val="000E0E49"/>
    <w:rsid w:val="000E51B6"/>
    <w:rsid w:val="000F41B3"/>
    <w:rsid w:val="000F4847"/>
    <w:rsid w:val="00100B78"/>
    <w:rsid w:val="00111573"/>
    <w:rsid w:val="00116A52"/>
    <w:rsid w:val="00117E86"/>
    <w:rsid w:val="001229AE"/>
    <w:rsid w:val="0013392F"/>
    <w:rsid w:val="001407EC"/>
    <w:rsid w:val="001417E8"/>
    <w:rsid w:val="00141FFC"/>
    <w:rsid w:val="001436E6"/>
    <w:rsid w:val="001442B5"/>
    <w:rsid w:val="00145749"/>
    <w:rsid w:val="001518D0"/>
    <w:rsid w:val="00165A35"/>
    <w:rsid w:val="00167810"/>
    <w:rsid w:val="00167BD4"/>
    <w:rsid w:val="001714E2"/>
    <w:rsid w:val="001733A3"/>
    <w:rsid w:val="00180007"/>
    <w:rsid w:val="00186E2B"/>
    <w:rsid w:val="0019439F"/>
    <w:rsid w:val="00195465"/>
    <w:rsid w:val="001A1BE8"/>
    <w:rsid w:val="001A1DAF"/>
    <w:rsid w:val="001A6BDA"/>
    <w:rsid w:val="001B316E"/>
    <w:rsid w:val="001C3525"/>
    <w:rsid w:val="001E5250"/>
    <w:rsid w:val="001F52C1"/>
    <w:rsid w:val="001F7E7F"/>
    <w:rsid w:val="00204BB3"/>
    <w:rsid w:val="00212F3C"/>
    <w:rsid w:val="00213575"/>
    <w:rsid w:val="0022244A"/>
    <w:rsid w:val="00222A03"/>
    <w:rsid w:val="002261FA"/>
    <w:rsid w:val="00233052"/>
    <w:rsid w:val="00233B1E"/>
    <w:rsid w:val="0023408A"/>
    <w:rsid w:val="00235804"/>
    <w:rsid w:val="00240633"/>
    <w:rsid w:val="00240D64"/>
    <w:rsid w:val="00243748"/>
    <w:rsid w:val="00244074"/>
    <w:rsid w:val="002459E8"/>
    <w:rsid w:val="00247C86"/>
    <w:rsid w:val="00253229"/>
    <w:rsid w:val="002726B8"/>
    <w:rsid w:val="002729FC"/>
    <w:rsid w:val="00274559"/>
    <w:rsid w:val="002B1266"/>
    <w:rsid w:val="002B2B15"/>
    <w:rsid w:val="002B6184"/>
    <w:rsid w:val="002C035A"/>
    <w:rsid w:val="002D2713"/>
    <w:rsid w:val="002D296A"/>
    <w:rsid w:val="002D630A"/>
    <w:rsid w:val="002E1F63"/>
    <w:rsid w:val="002E5261"/>
    <w:rsid w:val="002E7189"/>
    <w:rsid w:val="002F20A8"/>
    <w:rsid w:val="002F4CF2"/>
    <w:rsid w:val="002F72B8"/>
    <w:rsid w:val="00302DC3"/>
    <w:rsid w:val="003040F4"/>
    <w:rsid w:val="00314F7A"/>
    <w:rsid w:val="003221DD"/>
    <w:rsid w:val="00322FF6"/>
    <w:rsid w:val="0032437B"/>
    <w:rsid w:val="00326E39"/>
    <w:rsid w:val="003329AB"/>
    <w:rsid w:val="00333B59"/>
    <w:rsid w:val="003375F3"/>
    <w:rsid w:val="00337DE3"/>
    <w:rsid w:val="0034687B"/>
    <w:rsid w:val="00354604"/>
    <w:rsid w:val="00355253"/>
    <w:rsid w:val="003742E3"/>
    <w:rsid w:val="003816A2"/>
    <w:rsid w:val="00384766"/>
    <w:rsid w:val="00386A2F"/>
    <w:rsid w:val="003A18B1"/>
    <w:rsid w:val="003A4424"/>
    <w:rsid w:val="003B3F27"/>
    <w:rsid w:val="003B7C35"/>
    <w:rsid w:val="003C2DFF"/>
    <w:rsid w:val="003C7587"/>
    <w:rsid w:val="003C7698"/>
    <w:rsid w:val="003D1990"/>
    <w:rsid w:val="003D6D13"/>
    <w:rsid w:val="003E257B"/>
    <w:rsid w:val="003E3A0B"/>
    <w:rsid w:val="003F0E0F"/>
    <w:rsid w:val="003F1126"/>
    <w:rsid w:val="003F33F0"/>
    <w:rsid w:val="004010E7"/>
    <w:rsid w:val="0041097B"/>
    <w:rsid w:val="00412989"/>
    <w:rsid w:val="00426B1E"/>
    <w:rsid w:val="00426CC4"/>
    <w:rsid w:val="00446F73"/>
    <w:rsid w:val="00457DAC"/>
    <w:rsid w:val="00457EDA"/>
    <w:rsid w:val="004624A6"/>
    <w:rsid w:val="004631B7"/>
    <w:rsid w:val="0046660D"/>
    <w:rsid w:val="00467C9D"/>
    <w:rsid w:val="00484A75"/>
    <w:rsid w:val="00484B6D"/>
    <w:rsid w:val="0048592A"/>
    <w:rsid w:val="00492E44"/>
    <w:rsid w:val="00494EBF"/>
    <w:rsid w:val="004959ED"/>
    <w:rsid w:val="004A7808"/>
    <w:rsid w:val="004B6974"/>
    <w:rsid w:val="004C14B1"/>
    <w:rsid w:val="004C2088"/>
    <w:rsid w:val="004C328C"/>
    <w:rsid w:val="004C5636"/>
    <w:rsid w:val="004C5E3D"/>
    <w:rsid w:val="004D3503"/>
    <w:rsid w:val="004D7042"/>
    <w:rsid w:val="004E0149"/>
    <w:rsid w:val="004E13B9"/>
    <w:rsid w:val="004E209E"/>
    <w:rsid w:val="004E5200"/>
    <w:rsid w:val="004E7CC9"/>
    <w:rsid w:val="004F0E01"/>
    <w:rsid w:val="004F5ECE"/>
    <w:rsid w:val="004F7E5E"/>
    <w:rsid w:val="00505C1F"/>
    <w:rsid w:val="00510AA8"/>
    <w:rsid w:val="005123CC"/>
    <w:rsid w:val="00512996"/>
    <w:rsid w:val="00517E95"/>
    <w:rsid w:val="00526B68"/>
    <w:rsid w:val="0053703C"/>
    <w:rsid w:val="00545464"/>
    <w:rsid w:val="00546870"/>
    <w:rsid w:val="00546BE1"/>
    <w:rsid w:val="005605DE"/>
    <w:rsid w:val="0056422D"/>
    <w:rsid w:val="00565C5E"/>
    <w:rsid w:val="00571A48"/>
    <w:rsid w:val="00573AAB"/>
    <w:rsid w:val="00577E95"/>
    <w:rsid w:val="0058551B"/>
    <w:rsid w:val="00586730"/>
    <w:rsid w:val="00590EAA"/>
    <w:rsid w:val="00595558"/>
    <w:rsid w:val="00596A89"/>
    <w:rsid w:val="005A3567"/>
    <w:rsid w:val="005A466C"/>
    <w:rsid w:val="005A471C"/>
    <w:rsid w:val="005A67A0"/>
    <w:rsid w:val="005B5F4B"/>
    <w:rsid w:val="005B79D5"/>
    <w:rsid w:val="005C5897"/>
    <w:rsid w:val="005C6445"/>
    <w:rsid w:val="005D45CB"/>
    <w:rsid w:val="005E1E89"/>
    <w:rsid w:val="005E5F63"/>
    <w:rsid w:val="005E5F89"/>
    <w:rsid w:val="005E60E8"/>
    <w:rsid w:val="005F31A7"/>
    <w:rsid w:val="005F371C"/>
    <w:rsid w:val="005F3ED6"/>
    <w:rsid w:val="005F52E5"/>
    <w:rsid w:val="0061442B"/>
    <w:rsid w:val="00616CC7"/>
    <w:rsid w:val="00620424"/>
    <w:rsid w:val="006231C7"/>
    <w:rsid w:val="00634E7C"/>
    <w:rsid w:val="00643297"/>
    <w:rsid w:val="00645E5E"/>
    <w:rsid w:val="0065001E"/>
    <w:rsid w:val="0065185B"/>
    <w:rsid w:val="006606AE"/>
    <w:rsid w:val="00663C4F"/>
    <w:rsid w:val="00665179"/>
    <w:rsid w:val="006728A4"/>
    <w:rsid w:val="00672EA0"/>
    <w:rsid w:val="00676127"/>
    <w:rsid w:val="0068007D"/>
    <w:rsid w:val="0068120C"/>
    <w:rsid w:val="0068425D"/>
    <w:rsid w:val="0069047C"/>
    <w:rsid w:val="006A2A2C"/>
    <w:rsid w:val="006A4BA9"/>
    <w:rsid w:val="006B73C9"/>
    <w:rsid w:val="006C2D27"/>
    <w:rsid w:val="006C3F59"/>
    <w:rsid w:val="006C4D02"/>
    <w:rsid w:val="006D5C94"/>
    <w:rsid w:val="006E0EFE"/>
    <w:rsid w:val="006F13C8"/>
    <w:rsid w:val="006F4E72"/>
    <w:rsid w:val="006F6DEF"/>
    <w:rsid w:val="00700DF3"/>
    <w:rsid w:val="00702F3D"/>
    <w:rsid w:val="00704DF6"/>
    <w:rsid w:val="007053EF"/>
    <w:rsid w:val="00712E90"/>
    <w:rsid w:val="0071552F"/>
    <w:rsid w:val="00730810"/>
    <w:rsid w:val="00731336"/>
    <w:rsid w:val="0073168E"/>
    <w:rsid w:val="007329F0"/>
    <w:rsid w:val="00746D56"/>
    <w:rsid w:val="00747BEC"/>
    <w:rsid w:val="00752D37"/>
    <w:rsid w:val="00753CC0"/>
    <w:rsid w:val="007570F8"/>
    <w:rsid w:val="0076168B"/>
    <w:rsid w:val="0076538F"/>
    <w:rsid w:val="00772C8C"/>
    <w:rsid w:val="007905D8"/>
    <w:rsid w:val="00790991"/>
    <w:rsid w:val="007A5BD9"/>
    <w:rsid w:val="007A5CCC"/>
    <w:rsid w:val="007A6C6E"/>
    <w:rsid w:val="007B28A5"/>
    <w:rsid w:val="007C0C1B"/>
    <w:rsid w:val="007C4029"/>
    <w:rsid w:val="007C6B9A"/>
    <w:rsid w:val="007D1AE6"/>
    <w:rsid w:val="007D5C61"/>
    <w:rsid w:val="007E1C68"/>
    <w:rsid w:val="007E608A"/>
    <w:rsid w:val="007E6949"/>
    <w:rsid w:val="007F2D1C"/>
    <w:rsid w:val="0081158B"/>
    <w:rsid w:val="00814440"/>
    <w:rsid w:val="00817832"/>
    <w:rsid w:val="008231A1"/>
    <w:rsid w:val="0082327F"/>
    <w:rsid w:val="008327C4"/>
    <w:rsid w:val="0084460C"/>
    <w:rsid w:val="00847522"/>
    <w:rsid w:val="00850BAA"/>
    <w:rsid w:val="00851D30"/>
    <w:rsid w:val="008520E9"/>
    <w:rsid w:val="00853041"/>
    <w:rsid w:val="00866C86"/>
    <w:rsid w:val="00870EED"/>
    <w:rsid w:val="00874CC1"/>
    <w:rsid w:val="0087748C"/>
    <w:rsid w:val="00877E65"/>
    <w:rsid w:val="008823F4"/>
    <w:rsid w:val="00885174"/>
    <w:rsid w:val="00886E40"/>
    <w:rsid w:val="00890434"/>
    <w:rsid w:val="00891F55"/>
    <w:rsid w:val="00892811"/>
    <w:rsid w:val="00897036"/>
    <w:rsid w:val="008A2F61"/>
    <w:rsid w:val="008B0670"/>
    <w:rsid w:val="008C243D"/>
    <w:rsid w:val="008C30FA"/>
    <w:rsid w:val="008D506B"/>
    <w:rsid w:val="008D5F99"/>
    <w:rsid w:val="008E1EC6"/>
    <w:rsid w:val="008E5D32"/>
    <w:rsid w:val="008F298E"/>
    <w:rsid w:val="008F6E1B"/>
    <w:rsid w:val="009001E7"/>
    <w:rsid w:val="0090130E"/>
    <w:rsid w:val="00911C77"/>
    <w:rsid w:val="00923720"/>
    <w:rsid w:val="00924D30"/>
    <w:rsid w:val="0093696C"/>
    <w:rsid w:val="00941154"/>
    <w:rsid w:val="00952E0A"/>
    <w:rsid w:val="00956B0A"/>
    <w:rsid w:val="0095774F"/>
    <w:rsid w:val="00960D5B"/>
    <w:rsid w:val="00961037"/>
    <w:rsid w:val="0096317D"/>
    <w:rsid w:val="009653F9"/>
    <w:rsid w:val="0097056E"/>
    <w:rsid w:val="009711F2"/>
    <w:rsid w:val="009734E8"/>
    <w:rsid w:val="00982AB7"/>
    <w:rsid w:val="009956D6"/>
    <w:rsid w:val="009A7EB7"/>
    <w:rsid w:val="009B02D0"/>
    <w:rsid w:val="009B526B"/>
    <w:rsid w:val="009B5537"/>
    <w:rsid w:val="009B6EB2"/>
    <w:rsid w:val="009D1A7D"/>
    <w:rsid w:val="009D35CC"/>
    <w:rsid w:val="009D40BF"/>
    <w:rsid w:val="009D7745"/>
    <w:rsid w:val="009E3CBD"/>
    <w:rsid w:val="009E466A"/>
    <w:rsid w:val="009E694D"/>
    <w:rsid w:val="009E7D19"/>
    <w:rsid w:val="009F05EB"/>
    <w:rsid w:val="009F1BC1"/>
    <w:rsid w:val="009F2A01"/>
    <w:rsid w:val="009F3BA6"/>
    <w:rsid w:val="009F6E28"/>
    <w:rsid w:val="00A00AB7"/>
    <w:rsid w:val="00A01610"/>
    <w:rsid w:val="00A02B4D"/>
    <w:rsid w:val="00A220DD"/>
    <w:rsid w:val="00A30B5C"/>
    <w:rsid w:val="00A33936"/>
    <w:rsid w:val="00A372A9"/>
    <w:rsid w:val="00A5201E"/>
    <w:rsid w:val="00A54EBD"/>
    <w:rsid w:val="00A55D16"/>
    <w:rsid w:val="00A61EB1"/>
    <w:rsid w:val="00A64B2E"/>
    <w:rsid w:val="00A67D72"/>
    <w:rsid w:val="00A71D11"/>
    <w:rsid w:val="00A72435"/>
    <w:rsid w:val="00A80E93"/>
    <w:rsid w:val="00A836A5"/>
    <w:rsid w:val="00A86397"/>
    <w:rsid w:val="00A9017B"/>
    <w:rsid w:val="00A9194A"/>
    <w:rsid w:val="00A92BF2"/>
    <w:rsid w:val="00A97D44"/>
    <w:rsid w:val="00AA72AA"/>
    <w:rsid w:val="00AB69FA"/>
    <w:rsid w:val="00AC141B"/>
    <w:rsid w:val="00AC5C34"/>
    <w:rsid w:val="00AD0608"/>
    <w:rsid w:val="00AD0A9B"/>
    <w:rsid w:val="00AD16D5"/>
    <w:rsid w:val="00AD3355"/>
    <w:rsid w:val="00AD39FB"/>
    <w:rsid w:val="00AD56EF"/>
    <w:rsid w:val="00AE1967"/>
    <w:rsid w:val="00AE2242"/>
    <w:rsid w:val="00AE5957"/>
    <w:rsid w:val="00AE7B75"/>
    <w:rsid w:val="00AF7B8C"/>
    <w:rsid w:val="00AF7E17"/>
    <w:rsid w:val="00B00B4C"/>
    <w:rsid w:val="00B12145"/>
    <w:rsid w:val="00B17432"/>
    <w:rsid w:val="00B229F5"/>
    <w:rsid w:val="00B22B57"/>
    <w:rsid w:val="00B25884"/>
    <w:rsid w:val="00B414C1"/>
    <w:rsid w:val="00B41AD2"/>
    <w:rsid w:val="00B41B2F"/>
    <w:rsid w:val="00B42BCB"/>
    <w:rsid w:val="00B46F49"/>
    <w:rsid w:val="00B57360"/>
    <w:rsid w:val="00B623FA"/>
    <w:rsid w:val="00B66DD1"/>
    <w:rsid w:val="00B776BF"/>
    <w:rsid w:val="00B81DE8"/>
    <w:rsid w:val="00B84CCD"/>
    <w:rsid w:val="00B86DAC"/>
    <w:rsid w:val="00B97009"/>
    <w:rsid w:val="00BA0A96"/>
    <w:rsid w:val="00BA5AEA"/>
    <w:rsid w:val="00BB3941"/>
    <w:rsid w:val="00BB5497"/>
    <w:rsid w:val="00BC5E62"/>
    <w:rsid w:val="00BD033A"/>
    <w:rsid w:val="00BD1B5A"/>
    <w:rsid w:val="00BD2597"/>
    <w:rsid w:val="00BD32B3"/>
    <w:rsid w:val="00BD4AF8"/>
    <w:rsid w:val="00BD56F9"/>
    <w:rsid w:val="00BE21D2"/>
    <w:rsid w:val="00BE2F51"/>
    <w:rsid w:val="00BE7BB7"/>
    <w:rsid w:val="00C008F9"/>
    <w:rsid w:val="00C03815"/>
    <w:rsid w:val="00C05752"/>
    <w:rsid w:val="00C175B0"/>
    <w:rsid w:val="00C216E9"/>
    <w:rsid w:val="00C23823"/>
    <w:rsid w:val="00C36A83"/>
    <w:rsid w:val="00C40ABD"/>
    <w:rsid w:val="00C50A76"/>
    <w:rsid w:val="00C50E17"/>
    <w:rsid w:val="00C70333"/>
    <w:rsid w:val="00C70FF1"/>
    <w:rsid w:val="00C7308B"/>
    <w:rsid w:val="00C8256E"/>
    <w:rsid w:val="00C833E0"/>
    <w:rsid w:val="00C84D74"/>
    <w:rsid w:val="00C9511F"/>
    <w:rsid w:val="00C96425"/>
    <w:rsid w:val="00C97B7F"/>
    <w:rsid w:val="00CA071A"/>
    <w:rsid w:val="00CA12FC"/>
    <w:rsid w:val="00CA181B"/>
    <w:rsid w:val="00CA583D"/>
    <w:rsid w:val="00CB067F"/>
    <w:rsid w:val="00CB17FF"/>
    <w:rsid w:val="00CB3002"/>
    <w:rsid w:val="00CB4276"/>
    <w:rsid w:val="00CC0C46"/>
    <w:rsid w:val="00CD0303"/>
    <w:rsid w:val="00CD45B1"/>
    <w:rsid w:val="00CD53DC"/>
    <w:rsid w:val="00CE420E"/>
    <w:rsid w:val="00CF766A"/>
    <w:rsid w:val="00D00AA8"/>
    <w:rsid w:val="00D01A2B"/>
    <w:rsid w:val="00D03311"/>
    <w:rsid w:val="00D03B25"/>
    <w:rsid w:val="00D13732"/>
    <w:rsid w:val="00D14C0E"/>
    <w:rsid w:val="00D16795"/>
    <w:rsid w:val="00D17F3E"/>
    <w:rsid w:val="00D42AEA"/>
    <w:rsid w:val="00D42F3F"/>
    <w:rsid w:val="00D4314C"/>
    <w:rsid w:val="00D47100"/>
    <w:rsid w:val="00D642DD"/>
    <w:rsid w:val="00D65556"/>
    <w:rsid w:val="00D7776E"/>
    <w:rsid w:val="00D80117"/>
    <w:rsid w:val="00D9182C"/>
    <w:rsid w:val="00D97D08"/>
    <w:rsid w:val="00DA1958"/>
    <w:rsid w:val="00DA30C7"/>
    <w:rsid w:val="00DA3BFA"/>
    <w:rsid w:val="00DA4925"/>
    <w:rsid w:val="00DA6636"/>
    <w:rsid w:val="00DB1D86"/>
    <w:rsid w:val="00DB2E19"/>
    <w:rsid w:val="00DB3D2D"/>
    <w:rsid w:val="00DC56FE"/>
    <w:rsid w:val="00DC61DB"/>
    <w:rsid w:val="00DC6ED8"/>
    <w:rsid w:val="00DD3CE3"/>
    <w:rsid w:val="00DD568A"/>
    <w:rsid w:val="00DD5918"/>
    <w:rsid w:val="00DE7684"/>
    <w:rsid w:val="00DF1B70"/>
    <w:rsid w:val="00DF1BAC"/>
    <w:rsid w:val="00DF60B2"/>
    <w:rsid w:val="00DF6CF5"/>
    <w:rsid w:val="00DF6D03"/>
    <w:rsid w:val="00E04DF4"/>
    <w:rsid w:val="00E07069"/>
    <w:rsid w:val="00E078E8"/>
    <w:rsid w:val="00E14B00"/>
    <w:rsid w:val="00E15BCE"/>
    <w:rsid w:val="00E25481"/>
    <w:rsid w:val="00E33382"/>
    <w:rsid w:val="00E35B2C"/>
    <w:rsid w:val="00E35BFB"/>
    <w:rsid w:val="00E36E33"/>
    <w:rsid w:val="00E41050"/>
    <w:rsid w:val="00E413B3"/>
    <w:rsid w:val="00E46566"/>
    <w:rsid w:val="00E501BE"/>
    <w:rsid w:val="00E63CCC"/>
    <w:rsid w:val="00E769B2"/>
    <w:rsid w:val="00E81E86"/>
    <w:rsid w:val="00E92409"/>
    <w:rsid w:val="00EA013E"/>
    <w:rsid w:val="00EA1003"/>
    <w:rsid w:val="00EB39D2"/>
    <w:rsid w:val="00EB4015"/>
    <w:rsid w:val="00EB7058"/>
    <w:rsid w:val="00EC402E"/>
    <w:rsid w:val="00ED4D9B"/>
    <w:rsid w:val="00F02BCD"/>
    <w:rsid w:val="00F17BD4"/>
    <w:rsid w:val="00F239E0"/>
    <w:rsid w:val="00F243B8"/>
    <w:rsid w:val="00F25BEB"/>
    <w:rsid w:val="00F2649A"/>
    <w:rsid w:val="00F37979"/>
    <w:rsid w:val="00F46A9C"/>
    <w:rsid w:val="00F5038B"/>
    <w:rsid w:val="00F56C8E"/>
    <w:rsid w:val="00F571D1"/>
    <w:rsid w:val="00F60FED"/>
    <w:rsid w:val="00F65936"/>
    <w:rsid w:val="00F7539C"/>
    <w:rsid w:val="00F75B35"/>
    <w:rsid w:val="00F84B08"/>
    <w:rsid w:val="00F9017F"/>
    <w:rsid w:val="00F91518"/>
    <w:rsid w:val="00F91D0A"/>
    <w:rsid w:val="00F96841"/>
    <w:rsid w:val="00F96B33"/>
    <w:rsid w:val="00F97766"/>
    <w:rsid w:val="00FA3505"/>
    <w:rsid w:val="00FA5CBD"/>
    <w:rsid w:val="00FA689C"/>
    <w:rsid w:val="00FB303F"/>
    <w:rsid w:val="00FB6265"/>
    <w:rsid w:val="00FC0378"/>
    <w:rsid w:val="00FC2630"/>
    <w:rsid w:val="00FC5445"/>
    <w:rsid w:val="00FD222F"/>
    <w:rsid w:val="00FD7E0A"/>
    <w:rsid w:val="00FE183F"/>
    <w:rsid w:val="00FE2344"/>
    <w:rsid w:val="00FE45C7"/>
    <w:rsid w:val="00FE58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77E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D86"/>
  </w:style>
  <w:style w:type="paragraph" w:styleId="Heading1">
    <w:name w:val="heading 1"/>
    <w:basedOn w:val="Normal"/>
    <w:link w:val="Heading1Char"/>
    <w:uiPriority w:val="9"/>
    <w:qFormat/>
    <w:rsid w:val="004F5ECE"/>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1D86"/>
  </w:style>
  <w:style w:type="character" w:customStyle="1" w:styleId="FootnoteTextChar">
    <w:name w:val="Footnote Text Char"/>
    <w:basedOn w:val="DefaultParagraphFont"/>
    <w:link w:val="FootnoteText"/>
    <w:uiPriority w:val="99"/>
    <w:rsid w:val="00DB1D86"/>
  </w:style>
  <w:style w:type="character" w:styleId="FootnoteReference">
    <w:name w:val="footnote reference"/>
    <w:basedOn w:val="DefaultParagraphFont"/>
    <w:uiPriority w:val="99"/>
    <w:unhideWhenUsed/>
    <w:rsid w:val="00DB1D86"/>
    <w:rPr>
      <w:vertAlign w:val="superscript"/>
    </w:rPr>
  </w:style>
  <w:style w:type="paragraph" w:styleId="ListParagraph">
    <w:name w:val="List Paragraph"/>
    <w:basedOn w:val="Normal"/>
    <w:uiPriority w:val="34"/>
    <w:qFormat/>
    <w:rsid w:val="0058551B"/>
    <w:pPr>
      <w:ind w:left="720"/>
      <w:contextualSpacing/>
    </w:pPr>
  </w:style>
  <w:style w:type="paragraph" w:styleId="EndnoteText">
    <w:name w:val="endnote text"/>
    <w:basedOn w:val="Normal"/>
    <w:link w:val="EndnoteTextChar"/>
    <w:uiPriority w:val="99"/>
    <w:unhideWhenUsed/>
    <w:rsid w:val="0065185B"/>
  </w:style>
  <w:style w:type="character" w:customStyle="1" w:styleId="EndnoteTextChar">
    <w:name w:val="Endnote Text Char"/>
    <w:basedOn w:val="DefaultParagraphFont"/>
    <w:link w:val="EndnoteText"/>
    <w:uiPriority w:val="99"/>
    <w:rsid w:val="0065185B"/>
  </w:style>
  <w:style w:type="character" w:styleId="EndnoteReference">
    <w:name w:val="endnote reference"/>
    <w:basedOn w:val="DefaultParagraphFont"/>
    <w:uiPriority w:val="99"/>
    <w:unhideWhenUsed/>
    <w:rsid w:val="0065185B"/>
    <w:rPr>
      <w:vertAlign w:val="superscript"/>
    </w:rPr>
  </w:style>
  <w:style w:type="paragraph" w:styleId="Header">
    <w:name w:val="header"/>
    <w:basedOn w:val="Normal"/>
    <w:link w:val="HeaderChar"/>
    <w:uiPriority w:val="99"/>
    <w:unhideWhenUsed/>
    <w:rsid w:val="00D17F3E"/>
    <w:pPr>
      <w:tabs>
        <w:tab w:val="center" w:pos="4680"/>
        <w:tab w:val="right" w:pos="9360"/>
      </w:tabs>
    </w:pPr>
  </w:style>
  <w:style w:type="character" w:customStyle="1" w:styleId="HeaderChar">
    <w:name w:val="Header Char"/>
    <w:basedOn w:val="DefaultParagraphFont"/>
    <w:link w:val="Header"/>
    <w:uiPriority w:val="99"/>
    <w:rsid w:val="00D17F3E"/>
  </w:style>
  <w:style w:type="character" w:styleId="Hyperlink">
    <w:name w:val="Hyperlink"/>
    <w:basedOn w:val="DefaultParagraphFont"/>
    <w:uiPriority w:val="99"/>
    <w:unhideWhenUsed/>
    <w:rsid w:val="00AD16D5"/>
    <w:rPr>
      <w:color w:val="0563C1" w:themeColor="hyperlink"/>
      <w:u w:val="single"/>
    </w:rPr>
  </w:style>
  <w:style w:type="character" w:styleId="FollowedHyperlink">
    <w:name w:val="FollowedHyperlink"/>
    <w:basedOn w:val="DefaultParagraphFont"/>
    <w:uiPriority w:val="99"/>
    <w:semiHidden/>
    <w:unhideWhenUsed/>
    <w:rsid w:val="00817832"/>
    <w:rPr>
      <w:color w:val="954F72" w:themeColor="followedHyperlink"/>
      <w:u w:val="single"/>
    </w:rPr>
  </w:style>
  <w:style w:type="character" w:customStyle="1" w:styleId="Heading1Char">
    <w:name w:val="Heading 1 Char"/>
    <w:basedOn w:val="DefaultParagraphFont"/>
    <w:link w:val="Heading1"/>
    <w:uiPriority w:val="9"/>
    <w:rsid w:val="004F5ECE"/>
    <w:rPr>
      <w:rFonts w:ascii="Times New Roman" w:hAnsi="Times New Roman" w:cs="Times New Roman"/>
      <w:b/>
      <w:bCs/>
      <w:kern w:val="36"/>
      <w:sz w:val="48"/>
      <w:szCs w:val="48"/>
    </w:rPr>
  </w:style>
  <w:style w:type="paragraph" w:styleId="NormalWeb">
    <w:name w:val="Normal (Web)"/>
    <w:basedOn w:val="Normal"/>
    <w:uiPriority w:val="99"/>
    <w:unhideWhenUsed/>
    <w:rsid w:val="004F5ECE"/>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F5ECE"/>
    <w:rPr>
      <w:b/>
      <w:bCs/>
    </w:rPr>
  </w:style>
  <w:style w:type="paragraph" w:styleId="Footer">
    <w:name w:val="footer"/>
    <w:basedOn w:val="Normal"/>
    <w:link w:val="FooterChar"/>
    <w:uiPriority w:val="99"/>
    <w:unhideWhenUsed/>
    <w:rsid w:val="000B227F"/>
    <w:pPr>
      <w:tabs>
        <w:tab w:val="center" w:pos="4680"/>
        <w:tab w:val="right" w:pos="9360"/>
      </w:tabs>
    </w:pPr>
  </w:style>
  <w:style w:type="character" w:customStyle="1" w:styleId="FooterChar">
    <w:name w:val="Footer Char"/>
    <w:basedOn w:val="DefaultParagraphFont"/>
    <w:link w:val="Footer"/>
    <w:uiPriority w:val="99"/>
    <w:rsid w:val="000B227F"/>
  </w:style>
  <w:style w:type="character" w:styleId="PageNumber">
    <w:name w:val="page number"/>
    <w:basedOn w:val="DefaultParagraphFont"/>
    <w:uiPriority w:val="99"/>
    <w:semiHidden/>
    <w:unhideWhenUsed/>
    <w:rsid w:val="000B227F"/>
  </w:style>
  <w:style w:type="character" w:styleId="CommentReference">
    <w:name w:val="annotation reference"/>
    <w:basedOn w:val="DefaultParagraphFont"/>
    <w:uiPriority w:val="99"/>
    <w:semiHidden/>
    <w:unhideWhenUsed/>
    <w:rsid w:val="00510AA8"/>
    <w:rPr>
      <w:sz w:val="18"/>
      <w:szCs w:val="18"/>
    </w:rPr>
  </w:style>
  <w:style w:type="paragraph" w:styleId="CommentText">
    <w:name w:val="annotation text"/>
    <w:basedOn w:val="Normal"/>
    <w:link w:val="CommentTextChar"/>
    <w:uiPriority w:val="99"/>
    <w:semiHidden/>
    <w:unhideWhenUsed/>
    <w:rsid w:val="00510AA8"/>
  </w:style>
  <w:style w:type="character" w:customStyle="1" w:styleId="CommentTextChar">
    <w:name w:val="Comment Text Char"/>
    <w:basedOn w:val="DefaultParagraphFont"/>
    <w:link w:val="CommentText"/>
    <w:uiPriority w:val="99"/>
    <w:semiHidden/>
    <w:rsid w:val="00510AA8"/>
  </w:style>
  <w:style w:type="paragraph" w:styleId="CommentSubject">
    <w:name w:val="annotation subject"/>
    <w:basedOn w:val="CommentText"/>
    <w:next w:val="CommentText"/>
    <w:link w:val="CommentSubjectChar"/>
    <w:uiPriority w:val="99"/>
    <w:semiHidden/>
    <w:unhideWhenUsed/>
    <w:rsid w:val="00510AA8"/>
    <w:rPr>
      <w:b/>
      <w:bCs/>
      <w:sz w:val="20"/>
      <w:szCs w:val="20"/>
    </w:rPr>
  </w:style>
  <w:style w:type="character" w:customStyle="1" w:styleId="CommentSubjectChar">
    <w:name w:val="Comment Subject Char"/>
    <w:basedOn w:val="CommentTextChar"/>
    <w:link w:val="CommentSubject"/>
    <w:uiPriority w:val="99"/>
    <w:semiHidden/>
    <w:rsid w:val="00510AA8"/>
    <w:rPr>
      <w:b/>
      <w:bCs/>
      <w:sz w:val="20"/>
      <w:szCs w:val="20"/>
    </w:rPr>
  </w:style>
  <w:style w:type="paragraph" w:styleId="BalloonText">
    <w:name w:val="Balloon Text"/>
    <w:basedOn w:val="Normal"/>
    <w:link w:val="BalloonTextChar"/>
    <w:uiPriority w:val="99"/>
    <w:semiHidden/>
    <w:unhideWhenUsed/>
    <w:rsid w:val="00510A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0AA8"/>
    <w:rPr>
      <w:rFonts w:ascii="Times New Roman" w:hAnsi="Times New Roman" w:cs="Times New Roman"/>
      <w:sz w:val="18"/>
      <w:szCs w:val="18"/>
    </w:rPr>
  </w:style>
  <w:style w:type="table" w:styleId="TableGrid">
    <w:name w:val="Table Grid"/>
    <w:basedOn w:val="TableNormal"/>
    <w:uiPriority w:val="39"/>
    <w:rsid w:val="00712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45717">
      <w:bodyDiv w:val="1"/>
      <w:marLeft w:val="0"/>
      <w:marRight w:val="0"/>
      <w:marTop w:val="0"/>
      <w:marBottom w:val="0"/>
      <w:divBdr>
        <w:top w:val="none" w:sz="0" w:space="0" w:color="auto"/>
        <w:left w:val="none" w:sz="0" w:space="0" w:color="auto"/>
        <w:bottom w:val="none" w:sz="0" w:space="0" w:color="auto"/>
        <w:right w:val="none" w:sz="0" w:space="0" w:color="auto"/>
      </w:divBdr>
    </w:div>
    <w:div w:id="245959800">
      <w:bodyDiv w:val="1"/>
      <w:marLeft w:val="0"/>
      <w:marRight w:val="0"/>
      <w:marTop w:val="0"/>
      <w:marBottom w:val="0"/>
      <w:divBdr>
        <w:top w:val="none" w:sz="0" w:space="0" w:color="auto"/>
        <w:left w:val="none" w:sz="0" w:space="0" w:color="auto"/>
        <w:bottom w:val="none" w:sz="0" w:space="0" w:color="auto"/>
        <w:right w:val="none" w:sz="0" w:space="0" w:color="auto"/>
      </w:divBdr>
    </w:div>
    <w:div w:id="257639228">
      <w:bodyDiv w:val="1"/>
      <w:marLeft w:val="0"/>
      <w:marRight w:val="0"/>
      <w:marTop w:val="0"/>
      <w:marBottom w:val="0"/>
      <w:divBdr>
        <w:top w:val="none" w:sz="0" w:space="0" w:color="auto"/>
        <w:left w:val="none" w:sz="0" w:space="0" w:color="auto"/>
        <w:bottom w:val="none" w:sz="0" w:space="0" w:color="auto"/>
        <w:right w:val="none" w:sz="0" w:space="0" w:color="auto"/>
      </w:divBdr>
    </w:div>
    <w:div w:id="1636136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rcheorm.arti.beniculturali.it/sites/default/files/imagecache/grande/images/Niobide_1.jpg" TargetMode="External"/><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witter.com/_Carabinieri_/status/80580167118404403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ctr">
              <a:defRPr sz="1320" b="0" i="0" u="none" strike="noStrike" kern="1200" spc="0" baseline="0">
                <a:solidFill>
                  <a:schemeClr val="tx1">
                    <a:lumMod val="65000"/>
                    <a:lumOff val="35000"/>
                  </a:schemeClr>
                </a:solidFill>
                <a:latin typeface="Times New Roman" charset="0"/>
                <a:ea typeface="+mn-ea"/>
                <a:cs typeface="+mn-cs"/>
              </a:defRPr>
            </a:pPr>
            <a:r>
              <a:rPr lang="en-US" sz="1100" b="1">
                <a:solidFill>
                  <a:schemeClr val="tx1"/>
                </a:solidFill>
              </a:rPr>
              <a:t>Diagram 2: Provenance Transparency </a:t>
            </a:r>
          </a:p>
        </c:rich>
      </c:tx>
      <c:layout>
        <c:manualLayout>
          <c:xMode val="edge"/>
          <c:yMode val="edge"/>
          <c:x val="0.28285666083098898"/>
          <c:y val="2.98598041098521E-2"/>
        </c:manualLayout>
      </c:layout>
      <c:overlay val="0"/>
      <c:spPr>
        <a:noFill/>
        <a:ln>
          <a:noFill/>
        </a:ln>
        <a:effectLst/>
      </c:spPr>
      <c:txPr>
        <a:bodyPr rot="0" spcFirstLastPara="1" vertOverflow="ellipsis" vert="horz" wrap="square" anchor="ctr" anchorCtr="1"/>
        <a:lstStyle/>
        <a:p>
          <a:pPr algn="ctr">
            <a:defRPr sz="1320" b="0" i="0" u="none" strike="noStrike" kern="1200" spc="0" baseline="0">
              <a:solidFill>
                <a:schemeClr val="tx1">
                  <a:lumMod val="65000"/>
                  <a:lumOff val="35000"/>
                </a:schemeClr>
              </a:solidFill>
              <a:latin typeface="Times New Roman" charset="0"/>
              <a:ea typeface="+mn-ea"/>
              <a:cs typeface="+mn-cs"/>
            </a:defRPr>
          </a:pPr>
          <a:endParaRPr lang="en-US"/>
        </a:p>
      </c:txPr>
    </c:title>
    <c:autoTitleDeleted val="0"/>
    <c:plotArea>
      <c:layout>
        <c:manualLayout>
          <c:layoutTarget val="inner"/>
          <c:xMode val="edge"/>
          <c:yMode val="edge"/>
          <c:x val="0.114779526420039"/>
          <c:y val="0.18240126234220699"/>
          <c:w val="0.86799822667906401"/>
          <c:h val="0.63625640544931905"/>
        </c:manualLayout>
      </c:layout>
      <c:barChart>
        <c:barDir val="col"/>
        <c:grouping val="clustered"/>
        <c:varyColors val="0"/>
        <c:ser>
          <c:idx val="0"/>
          <c:order val="0"/>
          <c:tx>
            <c:strRef>
              <c:f>Sheet1!$B$1</c:f>
              <c:strCache>
                <c:ptCount val="1"/>
                <c:pt idx="0">
                  <c:v>With Provenance</c:v>
                </c:pt>
              </c:strCache>
            </c:strRef>
          </c:tx>
          <c:spPr>
            <a:solidFill>
              <a:schemeClr val="dk1">
                <a:tint val="88500"/>
              </a:schemeClr>
            </a:solidFill>
            <a:ln>
              <a:noFill/>
            </a:ln>
            <a:effectLst/>
          </c:spPr>
          <c:invertIfNegative val="0"/>
          <c:cat>
            <c:strRef>
              <c:f>Sheet1!$A$2:$A$5</c:f>
              <c:strCache>
                <c:ptCount val="2"/>
                <c:pt idx="0">
                  <c:v>U.S. Museums</c:v>
                </c:pt>
                <c:pt idx="1">
                  <c:v>Italian Museums</c:v>
                </c:pt>
              </c:strCache>
            </c:strRef>
          </c:cat>
          <c:val>
            <c:numRef>
              <c:f>Sheet1!$B$2:$B$5</c:f>
              <c:numCache>
                <c:formatCode>General</c:formatCode>
                <c:ptCount val="4"/>
                <c:pt idx="0">
                  <c:v>1</c:v>
                </c:pt>
                <c:pt idx="1">
                  <c:v>0.2</c:v>
                </c:pt>
              </c:numCache>
            </c:numRef>
          </c:val>
        </c:ser>
        <c:ser>
          <c:idx val="1"/>
          <c:order val="1"/>
          <c:tx>
            <c:strRef>
              <c:f>Sheet1!$C$1</c:f>
              <c:strCache>
                <c:ptCount val="1"/>
                <c:pt idx="0">
                  <c:v>Without Provenance</c:v>
                </c:pt>
              </c:strCache>
            </c:strRef>
          </c:tx>
          <c:spPr>
            <a:solidFill>
              <a:schemeClr val="dk1">
                <a:tint val="55000"/>
              </a:schemeClr>
            </a:solidFill>
            <a:ln>
              <a:noFill/>
            </a:ln>
            <a:effectLst/>
          </c:spPr>
          <c:invertIfNegative val="0"/>
          <c:cat>
            <c:strRef>
              <c:f>Sheet1!$A$2:$A$5</c:f>
              <c:strCache>
                <c:ptCount val="2"/>
                <c:pt idx="0">
                  <c:v>U.S. Museums</c:v>
                </c:pt>
                <c:pt idx="1">
                  <c:v>Italian Museums</c:v>
                </c:pt>
              </c:strCache>
            </c:strRef>
          </c:cat>
          <c:val>
            <c:numRef>
              <c:f>Sheet1!$C$2:$C$5</c:f>
              <c:numCache>
                <c:formatCode>General</c:formatCode>
                <c:ptCount val="4"/>
                <c:pt idx="1">
                  <c:v>0.8</c:v>
                </c:pt>
              </c:numCache>
            </c:numRef>
          </c:val>
        </c:ser>
        <c:dLbls>
          <c:showLegendKey val="0"/>
          <c:showVal val="0"/>
          <c:showCatName val="0"/>
          <c:showSerName val="0"/>
          <c:showPercent val="0"/>
          <c:showBubbleSize val="0"/>
        </c:dLbls>
        <c:gapWidth val="219"/>
        <c:overlap val="-27"/>
        <c:axId val="231704784"/>
        <c:axId val="231704392"/>
      </c:barChart>
      <c:catAx>
        <c:axId val="2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charset="0"/>
                <a:ea typeface="+mn-ea"/>
                <a:cs typeface="+mn-cs"/>
              </a:defRPr>
            </a:pPr>
            <a:endParaRPr lang="en-US"/>
          </a:p>
        </c:txPr>
        <c:crossAx val="231704392"/>
        <c:crosses val="autoZero"/>
        <c:auto val="1"/>
        <c:lblAlgn val="ctr"/>
        <c:lblOffset val="100"/>
        <c:noMultiLvlLbl val="0"/>
      </c:catAx>
      <c:valAx>
        <c:axId val="2317043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charset="0"/>
                <a:ea typeface="+mn-ea"/>
                <a:cs typeface="+mn-cs"/>
              </a:defRPr>
            </a:pPr>
            <a:endParaRPr lang="en-US"/>
          </a:p>
        </c:txPr>
        <c:crossAx val="231704784"/>
        <c:crosses val="autoZero"/>
        <c:crossBetween val="between"/>
      </c:valAx>
      <c:spPr>
        <a:noFill/>
        <a:ln>
          <a:noFill/>
        </a:ln>
        <a:effectLst/>
      </c:spPr>
    </c:plotArea>
    <c:legend>
      <c:legendPos val="b"/>
      <c:layout>
        <c:manualLayout>
          <c:xMode val="edge"/>
          <c:yMode val="edge"/>
          <c:x val="0.56116913130687296"/>
          <c:y val="0.29017810273715799"/>
          <c:w val="0.41663555255361601"/>
          <c:h val="0.245536182977128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latin typeface="Times New Roman"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485EAB-08E0-45FC-A18D-2185BCF2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6961</Words>
  <Characters>39678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46546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talbertf@gmail.com</dc:creator>
  <cp:keywords/>
  <dc:description/>
  <cp:lastModifiedBy>Laura Field</cp:lastModifiedBy>
  <cp:revision>2</cp:revision>
  <cp:lastPrinted>2017-01-27T13:43:00Z</cp:lastPrinted>
  <dcterms:created xsi:type="dcterms:W3CDTF">2017-05-10T14:40:00Z</dcterms:created>
  <dcterms:modified xsi:type="dcterms:W3CDTF">2017-05-10T14:40:00Z</dcterms:modified>
</cp:coreProperties>
</file>